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D5" w:rsidRPr="006E6166" w:rsidRDefault="00F44C61" w:rsidP="00583AA4">
      <w:pPr>
        <w:widowControl/>
        <w:overflowPunct w:val="0"/>
        <w:snapToGrid w:val="0"/>
        <w:spacing w:after="240"/>
        <w:jc w:val="center"/>
        <w:rPr>
          <w:b/>
          <w:bCs/>
          <w:kern w:val="0"/>
          <w:sz w:val="28"/>
          <w:szCs w:val="28"/>
        </w:rPr>
      </w:pPr>
      <w:r w:rsidRPr="006E6166">
        <w:rPr>
          <w:rFonts w:hint="eastAsia"/>
          <w:b/>
          <w:bCs/>
          <w:kern w:val="0"/>
          <w:sz w:val="28"/>
          <w:szCs w:val="28"/>
        </w:rPr>
        <w:t>Technology Start-up Support Scheme for Universities (TSSSU)</w:t>
      </w:r>
    </w:p>
    <w:p w:rsidR="00DC5E69" w:rsidRDefault="00924C21" w:rsidP="00583AA4">
      <w:pPr>
        <w:widowControl/>
        <w:overflowPunct w:val="0"/>
        <w:snapToGrid w:val="0"/>
        <w:spacing w:after="720"/>
        <w:jc w:val="center"/>
        <w:rPr>
          <w:b/>
          <w:sz w:val="28"/>
          <w:szCs w:val="28"/>
        </w:rPr>
      </w:pPr>
      <w:r w:rsidRPr="006E6166">
        <w:rPr>
          <w:rFonts w:hint="eastAsia"/>
          <w:b/>
          <w:sz w:val="28"/>
          <w:szCs w:val="28"/>
        </w:rPr>
        <w:t>Auditors</w:t>
      </w:r>
      <w:r w:rsidR="00B5342D">
        <w:rPr>
          <w:b/>
          <w:sz w:val="28"/>
          <w:szCs w:val="28"/>
        </w:rPr>
        <w:t>’</w:t>
      </w:r>
      <w:r w:rsidRPr="006E6166">
        <w:rPr>
          <w:rFonts w:hint="eastAsia"/>
          <w:b/>
          <w:sz w:val="28"/>
          <w:szCs w:val="28"/>
        </w:rPr>
        <w:t xml:space="preserve"> Report</w:t>
      </w:r>
      <w:r w:rsidR="005F5B74">
        <w:rPr>
          <w:rFonts w:hint="eastAsia"/>
          <w:b/>
          <w:sz w:val="28"/>
          <w:szCs w:val="28"/>
        </w:rPr>
        <w:t xml:space="preserve"> and Statement of Expenditure</w:t>
      </w:r>
    </w:p>
    <w:p w:rsidR="006E6166" w:rsidRPr="00931120" w:rsidRDefault="006E6166" w:rsidP="00583AA4">
      <w:pPr>
        <w:widowControl/>
        <w:overflowPunct w:val="0"/>
        <w:snapToGrid w:val="0"/>
        <w:jc w:val="both"/>
        <w:rPr>
          <w:b/>
          <w:sz w:val="28"/>
          <w:szCs w:val="28"/>
        </w:rPr>
      </w:pPr>
      <w:r w:rsidRPr="00931120">
        <w:rPr>
          <w:rFonts w:hint="eastAsia"/>
          <w:b/>
          <w:sz w:val="28"/>
          <w:szCs w:val="28"/>
        </w:rPr>
        <w:t xml:space="preserve">[Name of the </w:t>
      </w:r>
      <w:r w:rsidR="002D6FEC">
        <w:rPr>
          <w:rFonts w:hint="eastAsia"/>
          <w:b/>
          <w:sz w:val="28"/>
          <w:szCs w:val="28"/>
        </w:rPr>
        <w:t>start-up</w:t>
      </w:r>
      <w:r w:rsidRPr="00931120">
        <w:rPr>
          <w:rFonts w:hint="eastAsia"/>
          <w:b/>
          <w:sz w:val="28"/>
          <w:szCs w:val="28"/>
        </w:rPr>
        <w:t>]</w:t>
      </w:r>
    </w:p>
    <w:p w:rsidR="006E6166" w:rsidRPr="00931120" w:rsidRDefault="006E6166" w:rsidP="00583AA4">
      <w:pPr>
        <w:widowControl/>
        <w:overflowPunct w:val="0"/>
        <w:snapToGrid w:val="0"/>
        <w:spacing w:after="480"/>
        <w:jc w:val="both"/>
        <w:rPr>
          <w:b/>
          <w:sz w:val="28"/>
          <w:szCs w:val="28"/>
        </w:rPr>
      </w:pPr>
      <w:r w:rsidRPr="00931120">
        <w:rPr>
          <w:rFonts w:hint="eastAsia"/>
          <w:b/>
          <w:sz w:val="28"/>
          <w:szCs w:val="28"/>
        </w:rPr>
        <w:t>[Start date of the reimbursable period (DD/MM/YYYY)] to (</w:t>
      </w:r>
      <w:r w:rsidR="00163514">
        <w:rPr>
          <w:rFonts w:hint="eastAsia"/>
          <w:b/>
          <w:sz w:val="28"/>
          <w:szCs w:val="28"/>
        </w:rPr>
        <w:t>31/03</w:t>
      </w:r>
      <w:r w:rsidRPr="00931120">
        <w:rPr>
          <w:rFonts w:hint="eastAsia"/>
          <w:b/>
          <w:sz w:val="28"/>
          <w:szCs w:val="28"/>
        </w:rPr>
        <w:t>/YYYY)]</w:t>
      </w:r>
    </w:p>
    <w:p w:rsidR="006E6166" w:rsidRPr="00142639" w:rsidRDefault="006E6166" w:rsidP="00583AA4">
      <w:pPr>
        <w:widowControl/>
        <w:tabs>
          <w:tab w:val="left" w:pos="1080"/>
        </w:tabs>
        <w:overflowPunct w:val="0"/>
        <w:snapToGrid w:val="0"/>
        <w:spacing w:after="240"/>
        <w:jc w:val="both"/>
        <w:rPr>
          <w:sz w:val="28"/>
          <w:szCs w:val="28"/>
        </w:rPr>
      </w:pPr>
      <w:r w:rsidRPr="006E6166">
        <w:rPr>
          <w:rFonts w:hint="eastAsia"/>
          <w:sz w:val="28"/>
          <w:szCs w:val="28"/>
        </w:rPr>
        <w:tab/>
      </w:r>
      <w:r w:rsidRPr="00142639">
        <w:rPr>
          <w:rFonts w:hint="eastAsia"/>
          <w:sz w:val="28"/>
          <w:szCs w:val="28"/>
        </w:rPr>
        <w:t xml:space="preserve">Pursuant to the agreement made between [name of the </w:t>
      </w:r>
      <w:r w:rsidR="002D6FEC">
        <w:rPr>
          <w:rFonts w:hint="eastAsia"/>
          <w:sz w:val="28"/>
          <w:szCs w:val="28"/>
        </w:rPr>
        <w:t>start-up</w:t>
      </w:r>
      <w:r w:rsidRPr="00142639">
        <w:rPr>
          <w:rFonts w:hint="eastAsia"/>
          <w:sz w:val="28"/>
          <w:szCs w:val="28"/>
        </w:rPr>
        <w:t xml:space="preserve">] and [name of the </w:t>
      </w:r>
      <w:r w:rsidR="00903BCF">
        <w:rPr>
          <w:rFonts w:hint="eastAsia"/>
          <w:sz w:val="28"/>
          <w:szCs w:val="28"/>
        </w:rPr>
        <w:t>associated</w:t>
      </w:r>
      <w:r w:rsidRPr="00142639">
        <w:rPr>
          <w:rFonts w:hint="eastAsia"/>
          <w:sz w:val="28"/>
          <w:szCs w:val="28"/>
        </w:rPr>
        <w:t xml:space="preserve"> university]</w:t>
      </w:r>
      <w:r w:rsidR="00023819">
        <w:rPr>
          <w:rFonts w:hint="eastAsia"/>
          <w:sz w:val="28"/>
          <w:szCs w:val="28"/>
        </w:rPr>
        <w:t xml:space="preserve"> </w:t>
      </w:r>
      <w:r w:rsidR="00EE4383">
        <w:rPr>
          <w:rFonts w:hint="eastAsia"/>
          <w:sz w:val="28"/>
          <w:szCs w:val="28"/>
        </w:rPr>
        <w:t>(</w:t>
      </w:r>
      <w:r w:rsidR="00EE4383">
        <w:rPr>
          <w:sz w:val="28"/>
          <w:szCs w:val="28"/>
        </w:rPr>
        <w:t>“</w:t>
      </w:r>
      <w:r w:rsidR="00EE4383">
        <w:rPr>
          <w:rFonts w:hint="eastAsia"/>
          <w:sz w:val="28"/>
          <w:szCs w:val="28"/>
        </w:rPr>
        <w:t xml:space="preserve">the </w:t>
      </w:r>
      <w:r w:rsidR="00903BCF">
        <w:rPr>
          <w:rFonts w:hint="eastAsia"/>
          <w:sz w:val="28"/>
          <w:szCs w:val="28"/>
        </w:rPr>
        <w:t>associated</w:t>
      </w:r>
      <w:r w:rsidR="00EE4383">
        <w:rPr>
          <w:rFonts w:hint="eastAsia"/>
          <w:sz w:val="28"/>
          <w:szCs w:val="28"/>
        </w:rPr>
        <w:t xml:space="preserve"> university</w:t>
      </w:r>
      <w:r w:rsidR="00EE4383">
        <w:rPr>
          <w:sz w:val="28"/>
          <w:szCs w:val="28"/>
        </w:rPr>
        <w:t>”</w:t>
      </w:r>
      <w:r w:rsidR="00EE4383">
        <w:rPr>
          <w:rFonts w:hint="eastAsia"/>
          <w:sz w:val="28"/>
          <w:szCs w:val="28"/>
        </w:rPr>
        <w:t>)</w:t>
      </w:r>
      <w:r w:rsidRPr="00142639">
        <w:rPr>
          <w:rFonts w:hint="eastAsia"/>
          <w:sz w:val="28"/>
          <w:szCs w:val="28"/>
        </w:rPr>
        <w:t xml:space="preserve"> </w:t>
      </w:r>
      <w:r w:rsidR="001577CE">
        <w:rPr>
          <w:rFonts w:hint="eastAsia"/>
          <w:sz w:val="28"/>
          <w:szCs w:val="28"/>
        </w:rPr>
        <w:t xml:space="preserve">in respect of </w:t>
      </w:r>
      <w:r w:rsidR="001577CE" w:rsidRPr="001577CE">
        <w:rPr>
          <w:sz w:val="28"/>
          <w:szCs w:val="28"/>
        </w:rPr>
        <w:t>the Technology Start-up Support Scheme for Universities (“TSSSU”)</w:t>
      </w:r>
      <w:r w:rsidR="00DA7039">
        <w:rPr>
          <w:rFonts w:hint="eastAsia"/>
          <w:sz w:val="28"/>
          <w:szCs w:val="28"/>
        </w:rPr>
        <w:t xml:space="preserve"> </w:t>
      </w:r>
      <w:r w:rsidRPr="00142639">
        <w:rPr>
          <w:rFonts w:hint="eastAsia"/>
          <w:sz w:val="28"/>
          <w:szCs w:val="28"/>
        </w:rPr>
        <w:t xml:space="preserve">and the Innovation and Technology </w:t>
      </w:r>
      <w:r w:rsidR="00931120" w:rsidRPr="00142639">
        <w:rPr>
          <w:sz w:val="28"/>
          <w:szCs w:val="28"/>
        </w:rPr>
        <w:t>Commission</w:t>
      </w:r>
      <w:r w:rsidRPr="00142639">
        <w:rPr>
          <w:rFonts w:hint="eastAsia"/>
          <w:sz w:val="28"/>
          <w:szCs w:val="28"/>
        </w:rPr>
        <w:t xml:space="preserve"> (</w:t>
      </w:r>
      <w:r w:rsidR="002E03C7">
        <w:rPr>
          <w:sz w:val="28"/>
          <w:szCs w:val="28"/>
        </w:rPr>
        <w:t>“</w:t>
      </w:r>
      <w:r w:rsidRPr="00142639">
        <w:rPr>
          <w:rFonts w:hint="eastAsia"/>
          <w:sz w:val="28"/>
          <w:szCs w:val="28"/>
        </w:rPr>
        <w:t>ITC</w:t>
      </w:r>
      <w:r w:rsidR="002E03C7">
        <w:rPr>
          <w:sz w:val="28"/>
          <w:szCs w:val="28"/>
        </w:rPr>
        <w:t>”</w:t>
      </w:r>
      <w:r w:rsidRPr="00142639">
        <w:rPr>
          <w:rFonts w:hint="eastAsia"/>
          <w:sz w:val="28"/>
          <w:szCs w:val="28"/>
        </w:rPr>
        <w:t xml:space="preserve">) Application and Reimbursement Guidelines for </w:t>
      </w:r>
      <w:r w:rsidR="00023819">
        <w:rPr>
          <w:rFonts w:hint="eastAsia"/>
          <w:sz w:val="28"/>
          <w:szCs w:val="28"/>
        </w:rPr>
        <w:t xml:space="preserve">TSSSU </w:t>
      </w:r>
      <w:r w:rsidRPr="00142639">
        <w:rPr>
          <w:rFonts w:hint="eastAsia"/>
          <w:sz w:val="28"/>
          <w:szCs w:val="28"/>
        </w:rPr>
        <w:t>(</w:t>
      </w:r>
      <w:r w:rsidR="001577CE">
        <w:rPr>
          <w:sz w:val="28"/>
          <w:szCs w:val="28"/>
        </w:rPr>
        <w:t>“</w:t>
      </w:r>
      <w:r w:rsidR="00413D74">
        <w:rPr>
          <w:rFonts w:hint="eastAsia"/>
          <w:sz w:val="28"/>
          <w:szCs w:val="28"/>
        </w:rPr>
        <w:t>TSSSU</w:t>
      </w:r>
      <w:r w:rsidRPr="00142639">
        <w:rPr>
          <w:rFonts w:hint="eastAsia"/>
          <w:sz w:val="28"/>
          <w:szCs w:val="28"/>
        </w:rPr>
        <w:t xml:space="preserve"> Guidelines</w:t>
      </w:r>
      <w:r w:rsidR="001577CE">
        <w:rPr>
          <w:sz w:val="28"/>
          <w:szCs w:val="28"/>
        </w:rPr>
        <w:t>”</w:t>
      </w:r>
      <w:r w:rsidRPr="00142639">
        <w:rPr>
          <w:rFonts w:hint="eastAsia"/>
          <w:sz w:val="28"/>
          <w:szCs w:val="28"/>
        </w:rPr>
        <w:t xml:space="preserve">), we have performed a </w:t>
      </w:r>
      <w:r w:rsidRPr="00142639">
        <w:rPr>
          <w:sz w:val="28"/>
          <w:szCs w:val="28"/>
        </w:rPr>
        <w:t>reasonable</w:t>
      </w:r>
      <w:r w:rsidRPr="00142639">
        <w:rPr>
          <w:rFonts w:hint="eastAsia"/>
          <w:sz w:val="28"/>
          <w:szCs w:val="28"/>
        </w:rPr>
        <w:t xml:space="preserve"> assurance engagement to report on whether [name of the </w:t>
      </w:r>
      <w:r w:rsidR="00962F20">
        <w:rPr>
          <w:rFonts w:hint="eastAsia"/>
          <w:sz w:val="28"/>
          <w:szCs w:val="28"/>
        </w:rPr>
        <w:t>start-up</w:t>
      </w:r>
      <w:r w:rsidRPr="00142639">
        <w:rPr>
          <w:rFonts w:hint="eastAsia"/>
          <w:sz w:val="28"/>
          <w:szCs w:val="28"/>
        </w:rPr>
        <w:t xml:space="preserve">] has complied </w:t>
      </w:r>
      <w:r w:rsidRPr="00142639">
        <w:rPr>
          <w:sz w:val="28"/>
          <w:szCs w:val="28"/>
        </w:rPr>
        <w:t>with</w:t>
      </w:r>
      <w:r w:rsidRPr="00142639">
        <w:rPr>
          <w:rFonts w:hint="eastAsia"/>
          <w:sz w:val="28"/>
          <w:szCs w:val="28"/>
        </w:rPr>
        <w:t>, in all material respects, the requirements set by ITC (</w:t>
      </w:r>
      <w:r w:rsidRPr="00142639">
        <w:rPr>
          <w:sz w:val="28"/>
          <w:szCs w:val="28"/>
        </w:rPr>
        <w:t>including</w:t>
      </w:r>
      <w:r w:rsidRPr="00142639">
        <w:rPr>
          <w:rFonts w:hint="eastAsia"/>
          <w:sz w:val="28"/>
          <w:szCs w:val="28"/>
        </w:rPr>
        <w:t xml:space="preserve"> the requirements to keep proper books and records and to prepare proper</w:t>
      </w:r>
      <w:r w:rsidR="00D2341A" w:rsidRPr="00D2341A">
        <w:rPr>
          <w:rFonts w:hint="eastAsia"/>
          <w:sz w:val="28"/>
          <w:szCs w:val="28"/>
        </w:rPr>
        <w:t xml:space="preserve"> </w:t>
      </w:r>
      <w:r w:rsidR="00757A78" w:rsidRPr="00757A78">
        <w:rPr>
          <w:sz w:val="28"/>
          <w:szCs w:val="28"/>
        </w:rPr>
        <w:t>statement of expenditure plus relevant notes, if applicable</w:t>
      </w:r>
      <w:r w:rsidR="0075121B">
        <w:rPr>
          <w:rFonts w:hint="eastAsia"/>
          <w:sz w:val="28"/>
          <w:szCs w:val="28"/>
        </w:rPr>
        <w:t>,</w:t>
      </w:r>
      <w:r w:rsidRPr="00142639">
        <w:rPr>
          <w:rFonts w:hint="eastAsia"/>
          <w:sz w:val="28"/>
          <w:szCs w:val="28"/>
        </w:rPr>
        <w:t xml:space="preserve"> for the period from [start date of the reimbursable period (DD/MM/YYYY)] to (</w:t>
      </w:r>
      <w:r w:rsidR="006F3BA7">
        <w:rPr>
          <w:rFonts w:hint="eastAsia"/>
          <w:sz w:val="28"/>
          <w:szCs w:val="28"/>
        </w:rPr>
        <w:t>31/03</w:t>
      </w:r>
      <w:r w:rsidRPr="00142639">
        <w:rPr>
          <w:rFonts w:hint="eastAsia"/>
          <w:sz w:val="28"/>
          <w:szCs w:val="28"/>
        </w:rPr>
        <w:t>/YYYY)]</w:t>
      </w:r>
      <w:r w:rsidR="00BB128F">
        <w:rPr>
          <w:rFonts w:hint="eastAsia"/>
          <w:sz w:val="28"/>
          <w:szCs w:val="28"/>
        </w:rPr>
        <w:t xml:space="preserve"> on page</w:t>
      </w:r>
      <w:r w:rsidR="00583AA4">
        <w:rPr>
          <w:sz w:val="28"/>
          <w:szCs w:val="28"/>
          <w:lang w:val="en-US"/>
        </w:rPr>
        <w:t> </w:t>
      </w:r>
      <w:r w:rsidR="009E41F1">
        <w:rPr>
          <w:rFonts w:hint="eastAsia"/>
          <w:sz w:val="28"/>
          <w:szCs w:val="28"/>
        </w:rPr>
        <w:t>[</w:t>
      </w:r>
      <w:r w:rsidR="00BB128F">
        <w:rPr>
          <w:sz w:val="28"/>
          <w:szCs w:val="28"/>
        </w:rPr>
        <w:t>…</w:t>
      </w:r>
      <w:r w:rsidR="009E41F1">
        <w:rPr>
          <w:rFonts w:hint="eastAsia"/>
          <w:sz w:val="28"/>
          <w:szCs w:val="28"/>
        </w:rPr>
        <w:t>]</w:t>
      </w:r>
      <w:r w:rsidR="00583AA4">
        <w:rPr>
          <w:sz w:val="28"/>
          <w:szCs w:val="28"/>
        </w:rPr>
        <w:t xml:space="preserve"> </w:t>
      </w:r>
      <w:r w:rsidR="00EE4383">
        <w:rPr>
          <w:rFonts w:hint="eastAsia"/>
          <w:sz w:val="28"/>
          <w:szCs w:val="28"/>
        </w:rPr>
        <w:t>to</w:t>
      </w:r>
      <w:r w:rsidR="00583AA4">
        <w:rPr>
          <w:sz w:val="28"/>
          <w:szCs w:val="28"/>
        </w:rPr>
        <w:t xml:space="preserve"> </w:t>
      </w:r>
      <w:r w:rsidR="009E41F1">
        <w:rPr>
          <w:rFonts w:hint="eastAsia"/>
          <w:sz w:val="28"/>
          <w:szCs w:val="28"/>
        </w:rPr>
        <w:t>[</w:t>
      </w:r>
      <w:r w:rsidR="00EE4383">
        <w:rPr>
          <w:sz w:val="28"/>
          <w:szCs w:val="28"/>
        </w:rPr>
        <w:t>…</w:t>
      </w:r>
      <w:r w:rsidR="009E41F1">
        <w:rPr>
          <w:rFonts w:hint="eastAsia"/>
          <w:sz w:val="28"/>
          <w:szCs w:val="28"/>
        </w:rPr>
        <w:t>]</w:t>
      </w:r>
      <w:r w:rsidR="00583AA4">
        <w:rPr>
          <w:sz w:val="28"/>
          <w:szCs w:val="28"/>
        </w:rPr>
        <w:t xml:space="preserve"> </w:t>
      </w:r>
      <w:r w:rsidR="00BB128F">
        <w:rPr>
          <w:rFonts w:hint="eastAsia"/>
          <w:sz w:val="28"/>
          <w:szCs w:val="28"/>
        </w:rPr>
        <w:t>(</w:t>
      </w:r>
      <w:r w:rsidR="00BB128F" w:rsidRPr="00DB15BE">
        <w:rPr>
          <w:rFonts w:hint="eastAsia"/>
          <w:sz w:val="28"/>
          <w:szCs w:val="28"/>
        </w:rPr>
        <w:t xml:space="preserve">the </w:t>
      </w:r>
      <w:r w:rsidR="00BB128F" w:rsidRPr="00DB15BE">
        <w:rPr>
          <w:sz w:val="28"/>
          <w:szCs w:val="28"/>
        </w:rPr>
        <w:t>“</w:t>
      </w:r>
      <w:r w:rsidR="00BB128F" w:rsidRPr="00DB15BE">
        <w:rPr>
          <w:rFonts w:hint="eastAsia"/>
          <w:sz w:val="28"/>
          <w:szCs w:val="28"/>
        </w:rPr>
        <w:t>Statement of Expenditure</w:t>
      </w:r>
      <w:r w:rsidR="00BB128F" w:rsidRPr="00DB15BE">
        <w:rPr>
          <w:sz w:val="28"/>
          <w:szCs w:val="28"/>
        </w:rPr>
        <w:t>”</w:t>
      </w:r>
      <w:r w:rsidR="00BB128F" w:rsidRPr="00DB15BE">
        <w:rPr>
          <w:rFonts w:hint="eastAsia"/>
          <w:sz w:val="28"/>
          <w:szCs w:val="28"/>
        </w:rPr>
        <w:t>)</w:t>
      </w:r>
      <w:r w:rsidR="007802F0">
        <w:rPr>
          <w:rFonts w:hint="eastAsia"/>
          <w:sz w:val="28"/>
          <w:szCs w:val="28"/>
        </w:rPr>
        <w:t>)</w:t>
      </w:r>
      <w:r w:rsidR="00757A78">
        <w:rPr>
          <w:rFonts w:hint="eastAsia"/>
          <w:sz w:val="28"/>
          <w:szCs w:val="28"/>
        </w:rPr>
        <w:t xml:space="preserve"> </w:t>
      </w:r>
      <w:r w:rsidRPr="00142639">
        <w:rPr>
          <w:rFonts w:hint="eastAsia"/>
          <w:sz w:val="28"/>
          <w:szCs w:val="28"/>
        </w:rPr>
        <w:t xml:space="preserve">and all the terms and conditions of TSSSU funding under the Innovation and Technology Fund, as specified in the following documents </w:t>
      </w:r>
      <w:r w:rsidRPr="00142639">
        <w:rPr>
          <w:sz w:val="28"/>
          <w:szCs w:val="28"/>
        </w:rPr>
        <w:t>–</w:t>
      </w:r>
      <w:r w:rsidRPr="00142639">
        <w:rPr>
          <w:rFonts w:hint="eastAsia"/>
          <w:sz w:val="28"/>
          <w:szCs w:val="28"/>
        </w:rPr>
        <w:t xml:space="preserve"> </w:t>
      </w:r>
    </w:p>
    <w:p w:rsidR="006E6166" w:rsidRPr="006B0605" w:rsidRDefault="006E6166" w:rsidP="00583AA4">
      <w:pPr>
        <w:pStyle w:val="a4"/>
        <w:widowControl/>
        <w:numPr>
          <w:ilvl w:val="0"/>
          <w:numId w:val="18"/>
        </w:numPr>
        <w:tabs>
          <w:tab w:val="clear" w:pos="482"/>
          <w:tab w:val="left" w:pos="1080"/>
        </w:tabs>
        <w:overflowPunct w:val="0"/>
        <w:snapToGrid w:val="0"/>
        <w:spacing w:after="240"/>
        <w:ind w:left="1080" w:hanging="540"/>
        <w:jc w:val="both"/>
        <w:rPr>
          <w:sz w:val="28"/>
          <w:szCs w:val="28"/>
        </w:rPr>
      </w:pPr>
      <w:r w:rsidRPr="00142639">
        <w:rPr>
          <w:rFonts w:hint="eastAsia"/>
          <w:sz w:val="28"/>
          <w:szCs w:val="28"/>
        </w:rPr>
        <w:t xml:space="preserve">the </w:t>
      </w:r>
      <w:r w:rsidR="001577CE">
        <w:rPr>
          <w:rFonts w:hint="eastAsia"/>
          <w:sz w:val="28"/>
          <w:szCs w:val="28"/>
        </w:rPr>
        <w:t>TSSSU</w:t>
      </w:r>
      <w:r w:rsidR="00EE4383">
        <w:rPr>
          <w:rFonts w:hint="eastAsia"/>
          <w:sz w:val="28"/>
          <w:szCs w:val="28"/>
        </w:rPr>
        <w:t xml:space="preserve"> </w:t>
      </w:r>
      <w:r w:rsidRPr="00142639">
        <w:rPr>
          <w:sz w:val="28"/>
          <w:szCs w:val="28"/>
        </w:rPr>
        <w:t>Guidelines</w:t>
      </w:r>
      <w:r w:rsidRPr="00142639">
        <w:rPr>
          <w:rFonts w:hint="eastAsia"/>
          <w:sz w:val="28"/>
          <w:szCs w:val="28"/>
        </w:rPr>
        <w:t xml:space="preserve"> (including the </w:t>
      </w:r>
      <w:r w:rsidRPr="00142639">
        <w:rPr>
          <w:sz w:val="28"/>
          <w:szCs w:val="28"/>
        </w:rPr>
        <w:t>requirement</w:t>
      </w:r>
      <w:r w:rsidRPr="00142639">
        <w:rPr>
          <w:rFonts w:hint="eastAsia"/>
          <w:sz w:val="28"/>
          <w:szCs w:val="28"/>
        </w:rPr>
        <w:t xml:space="preserve"> that TSSSU funding should be used in a reasonable</w:t>
      </w:r>
      <w:r w:rsidR="00AB19D5">
        <w:rPr>
          <w:rFonts w:hint="eastAsia"/>
          <w:sz w:val="28"/>
          <w:szCs w:val="28"/>
        </w:rPr>
        <w:t>,</w:t>
      </w:r>
      <w:r w:rsidRPr="00142639">
        <w:rPr>
          <w:rFonts w:hint="eastAsia"/>
          <w:sz w:val="28"/>
          <w:szCs w:val="28"/>
        </w:rPr>
        <w:t xml:space="preserve"> proportionate </w:t>
      </w:r>
      <w:r w:rsidR="00AB19D5">
        <w:rPr>
          <w:rFonts w:hint="eastAsia"/>
          <w:sz w:val="28"/>
          <w:szCs w:val="28"/>
        </w:rPr>
        <w:t>a</w:t>
      </w:r>
      <w:r w:rsidR="00AB19D5" w:rsidRPr="006B0605">
        <w:rPr>
          <w:rFonts w:hint="eastAsia"/>
          <w:sz w:val="28"/>
          <w:szCs w:val="28"/>
        </w:rPr>
        <w:t xml:space="preserve">nd proper </w:t>
      </w:r>
      <w:r w:rsidRPr="006B0605">
        <w:rPr>
          <w:sz w:val="28"/>
          <w:szCs w:val="28"/>
        </w:rPr>
        <w:t>man</w:t>
      </w:r>
      <w:r w:rsidRPr="006B0605">
        <w:rPr>
          <w:rFonts w:hint="eastAsia"/>
          <w:sz w:val="28"/>
          <w:szCs w:val="28"/>
        </w:rPr>
        <w:t>ner in the</w:t>
      </w:r>
      <w:r w:rsidR="00583AA4" w:rsidRPr="006B0605">
        <w:rPr>
          <w:rFonts w:hint="eastAsia"/>
          <w:sz w:val="28"/>
          <w:szCs w:val="28"/>
        </w:rPr>
        <w:t xml:space="preserve"> areas stipulated in paragraphs </w:t>
      </w:r>
      <w:r w:rsidR="00B201AB" w:rsidRPr="006B0605">
        <w:rPr>
          <w:rFonts w:hint="eastAsia"/>
          <w:sz w:val="28"/>
          <w:szCs w:val="28"/>
        </w:rPr>
        <w:t>8</w:t>
      </w:r>
      <w:r w:rsidRPr="006B0605">
        <w:rPr>
          <w:rFonts w:hint="eastAsia"/>
          <w:sz w:val="28"/>
          <w:szCs w:val="28"/>
        </w:rPr>
        <w:t xml:space="preserve">(a) to </w:t>
      </w:r>
      <w:r w:rsidR="00B201AB" w:rsidRPr="006B0605">
        <w:rPr>
          <w:rFonts w:hint="eastAsia"/>
          <w:sz w:val="28"/>
          <w:szCs w:val="28"/>
        </w:rPr>
        <w:t>8</w:t>
      </w:r>
      <w:r w:rsidRPr="006B0605">
        <w:rPr>
          <w:rFonts w:hint="eastAsia"/>
          <w:sz w:val="28"/>
          <w:szCs w:val="28"/>
        </w:rPr>
        <w:t xml:space="preserve">(c) </w:t>
      </w:r>
      <w:r w:rsidR="00347BDB" w:rsidRPr="006B0605">
        <w:rPr>
          <w:sz w:val="28"/>
          <w:szCs w:val="28"/>
        </w:rPr>
        <w:t>and</w:t>
      </w:r>
      <w:r w:rsidR="005772FB" w:rsidRPr="006B0605">
        <w:rPr>
          <w:sz w:val="28"/>
          <w:szCs w:val="28"/>
        </w:rPr>
        <w:t>, if applicable,</w:t>
      </w:r>
      <w:r w:rsidR="00347BDB" w:rsidRPr="006B0605">
        <w:rPr>
          <w:sz w:val="28"/>
          <w:szCs w:val="28"/>
        </w:rPr>
        <w:t xml:space="preserve"> the </w:t>
      </w:r>
      <w:r w:rsidR="00372EF0" w:rsidRPr="00B1581C">
        <w:rPr>
          <w:sz w:val="28"/>
          <w:szCs w:val="28"/>
        </w:rPr>
        <w:t xml:space="preserve">receipt of </w:t>
      </w:r>
      <w:r w:rsidR="00347BDB" w:rsidRPr="00B1581C">
        <w:rPr>
          <w:sz w:val="28"/>
          <w:szCs w:val="28"/>
        </w:rPr>
        <w:t xml:space="preserve">the private investment during the </w:t>
      </w:r>
      <w:r w:rsidR="004B2F65" w:rsidRPr="00B1581C">
        <w:rPr>
          <w:sz w:val="28"/>
          <w:szCs w:val="28"/>
        </w:rPr>
        <w:t xml:space="preserve">recognised matching </w:t>
      </w:r>
      <w:r w:rsidR="00347BDB" w:rsidRPr="00B1581C">
        <w:rPr>
          <w:sz w:val="28"/>
          <w:szCs w:val="28"/>
        </w:rPr>
        <w:t xml:space="preserve">period as </w:t>
      </w:r>
      <w:r w:rsidR="00347BDB" w:rsidRPr="00B1581C">
        <w:rPr>
          <w:rFonts w:hint="eastAsia"/>
          <w:sz w:val="28"/>
          <w:szCs w:val="28"/>
        </w:rPr>
        <w:t>stipulated in paragraph</w:t>
      </w:r>
      <w:r w:rsidR="00516CAD" w:rsidRPr="00B1581C">
        <w:rPr>
          <w:sz w:val="28"/>
          <w:szCs w:val="28"/>
        </w:rPr>
        <w:t>s</w:t>
      </w:r>
      <w:r w:rsidR="00583AA4" w:rsidRPr="00B1581C">
        <w:rPr>
          <w:sz w:val="28"/>
          <w:szCs w:val="28"/>
        </w:rPr>
        <w:t> </w:t>
      </w:r>
      <w:r w:rsidR="00830350" w:rsidRPr="00B1581C">
        <w:rPr>
          <w:sz w:val="28"/>
          <w:szCs w:val="28"/>
        </w:rPr>
        <w:t>2</w:t>
      </w:r>
      <w:bookmarkStart w:id="0" w:name="_GoBack"/>
      <w:bookmarkEnd w:id="0"/>
      <w:r w:rsidR="0021601A" w:rsidRPr="00393C82">
        <w:rPr>
          <w:sz w:val="28"/>
          <w:szCs w:val="28"/>
        </w:rPr>
        <w:t xml:space="preserve"> </w:t>
      </w:r>
      <w:r w:rsidR="00516CAD" w:rsidRPr="00393C82">
        <w:rPr>
          <w:sz w:val="28"/>
          <w:szCs w:val="28"/>
        </w:rPr>
        <w:t>and 24</w:t>
      </w:r>
      <w:r w:rsidR="005772FB" w:rsidRPr="006B0605">
        <w:rPr>
          <w:sz w:val="28"/>
          <w:szCs w:val="28"/>
        </w:rPr>
        <w:t xml:space="preserve"> </w:t>
      </w:r>
      <w:r w:rsidR="005772FB" w:rsidRPr="006B0605">
        <w:rPr>
          <w:rFonts w:hint="eastAsia"/>
          <w:sz w:val="28"/>
          <w:szCs w:val="28"/>
        </w:rPr>
        <w:t>in the TSSSU Guidelines</w:t>
      </w:r>
      <w:r w:rsidRPr="006B0605">
        <w:rPr>
          <w:rFonts w:hint="eastAsia"/>
          <w:sz w:val="28"/>
          <w:szCs w:val="28"/>
        </w:rPr>
        <w:t>)</w:t>
      </w:r>
      <w:r w:rsidR="00583AA4" w:rsidRPr="006B0605">
        <w:rPr>
          <w:sz w:val="28"/>
          <w:szCs w:val="28"/>
        </w:rPr>
        <w:t>;</w:t>
      </w:r>
    </w:p>
    <w:p w:rsidR="006E6166" w:rsidRPr="00142639" w:rsidRDefault="006E6166" w:rsidP="00583AA4">
      <w:pPr>
        <w:pStyle w:val="a4"/>
        <w:widowControl/>
        <w:numPr>
          <w:ilvl w:val="0"/>
          <w:numId w:val="18"/>
        </w:numPr>
        <w:tabs>
          <w:tab w:val="clear" w:pos="482"/>
          <w:tab w:val="left" w:pos="1080"/>
        </w:tabs>
        <w:overflowPunct w:val="0"/>
        <w:snapToGrid w:val="0"/>
        <w:spacing w:after="240"/>
        <w:ind w:left="1094" w:hanging="547"/>
        <w:jc w:val="both"/>
        <w:rPr>
          <w:sz w:val="28"/>
          <w:szCs w:val="28"/>
        </w:rPr>
      </w:pPr>
      <w:r w:rsidRPr="00142639">
        <w:rPr>
          <w:sz w:val="28"/>
          <w:szCs w:val="28"/>
        </w:rPr>
        <w:t xml:space="preserve">all instructions and correspondences issued by ITC to the </w:t>
      </w:r>
      <w:r w:rsidR="00903BCF">
        <w:rPr>
          <w:rFonts w:hint="eastAsia"/>
          <w:sz w:val="28"/>
          <w:szCs w:val="28"/>
        </w:rPr>
        <w:t>associated</w:t>
      </w:r>
      <w:r w:rsidRPr="00142639">
        <w:rPr>
          <w:rFonts w:hint="eastAsia"/>
          <w:sz w:val="28"/>
          <w:szCs w:val="28"/>
        </w:rPr>
        <w:t xml:space="preserve"> university and the </w:t>
      </w:r>
      <w:r w:rsidR="00962F20">
        <w:rPr>
          <w:rFonts w:hint="eastAsia"/>
          <w:sz w:val="28"/>
          <w:szCs w:val="28"/>
        </w:rPr>
        <w:t>start-up</w:t>
      </w:r>
      <w:r w:rsidRPr="00142639">
        <w:rPr>
          <w:rFonts w:hint="eastAsia"/>
          <w:sz w:val="28"/>
          <w:szCs w:val="28"/>
        </w:rPr>
        <w:t xml:space="preserve"> as well as those from the </w:t>
      </w:r>
      <w:r w:rsidR="00903BCF">
        <w:rPr>
          <w:rFonts w:hint="eastAsia"/>
          <w:sz w:val="28"/>
          <w:szCs w:val="28"/>
        </w:rPr>
        <w:t>associated</w:t>
      </w:r>
      <w:r w:rsidRPr="00142639">
        <w:rPr>
          <w:sz w:val="28"/>
          <w:szCs w:val="28"/>
        </w:rPr>
        <w:t xml:space="preserve"> </w:t>
      </w:r>
      <w:r w:rsidRPr="00142639">
        <w:rPr>
          <w:rFonts w:hint="eastAsia"/>
          <w:sz w:val="28"/>
          <w:szCs w:val="28"/>
        </w:rPr>
        <w:t xml:space="preserve">university </w:t>
      </w:r>
      <w:r w:rsidRPr="00142639">
        <w:rPr>
          <w:rFonts w:eastAsia="SimSun" w:hint="eastAsia"/>
          <w:sz w:val="28"/>
          <w:szCs w:val="28"/>
          <w:lang w:eastAsia="zh-CN"/>
        </w:rPr>
        <w:t xml:space="preserve">and agreed by ITC </w:t>
      </w:r>
      <w:r w:rsidRPr="00142639">
        <w:rPr>
          <w:sz w:val="28"/>
          <w:szCs w:val="28"/>
        </w:rPr>
        <w:t xml:space="preserve">in respect of </w:t>
      </w:r>
      <w:r w:rsidRPr="00142639">
        <w:rPr>
          <w:rFonts w:hint="eastAsia"/>
          <w:sz w:val="28"/>
          <w:szCs w:val="28"/>
        </w:rPr>
        <w:t>TSSSU</w:t>
      </w:r>
      <w:r w:rsidRPr="00142639">
        <w:rPr>
          <w:sz w:val="28"/>
          <w:szCs w:val="28"/>
        </w:rPr>
        <w:t xml:space="preserve"> funding</w:t>
      </w:r>
      <w:r w:rsidRPr="00142639">
        <w:rPr>
          <w:rFonts w:hint="eastAsia"/>
          <w:sz w:val="28"/>
          <w:szCs w:val="28"/>
        </w:rPr>
        <w:t>; and</w:t>
      </w:r>
    </w:p>
    <w:p w:rsidR="006E6166" w:rsidRPr="00142639" w:rsidRDefault="006E6166" w:rsidP="00583AA4">
      <w:pPr>
        <w:pStyle w:val="a4"/>
        <w:widowControl/>
        <w:numPr>
          <w:ilvl w:val="0"/>
          <w:numId w:val="18"/>
        </w:numPr>
        <w:tabs>
          <w:tab w:val="clear" w:pos="482"/>
          <w:tab w:val="left" w:pos="1080"/>
        </w:tabs>
        <w:overflowPunct w:val="0"/>
        <w:snapToGrid w:val="0"/>
        <w:spacing w:after="240"/>
        <w:ind w:left="1094" w:hanging="547"/>
        <w:jc w:val="both"/>
        <w:rPr>
          <w:sz w:val="28"/>
          <w:szCs w:val="28"/>
        </w:rPr>
      </w:pPr>
      <w:r w:rsidRPr="00142639">
        <w:rPr>
          <w:rFonts w:hint="eastAsia"/>
          <w:sz w:val="28"/>
          <w:szCs w:val="28"/>
        </w:rPr>
        <w:t>the application form</w:t>
      </w:r>
      <w:r w:rsidR="00AB19D5">
        <w:rPr>
          <w:rFonts w:hint="eastAsia"/>
          <w:sz w:val="28"/>
          <w:szCs w:val="28"/>
        </w:rPr>
        <w:t>,</w:t>
      </w:r>
      <w:r w:rsidRPr="00142639">
        <w:rPr>
          <w:rFonts w:hint="eastAsia"/>
          <w:sz w:val="28"/>
          <w:szCs w:val="28"/>
        </w:rPr>
        <w:t xml:space="preserve"> the business proposal</w:t>
      </w:r>
      <w:r w:rsidR="00AB19D5">
        <w:rPr>
          <w:rFonts w:hint="eastAsia"/>
          <w:sz w:val="28"/>
          <w:szCs w:val="28"/>
        </w:rPr>
        <w:t>, and/or subsequent change request(s)</w:t>
      </w:r>
      <w:r w:rsidRPr="00142639">
        <w:rPr>
          <w:rFonts w:hint="eastAsia"/>
          <w:sz w:val="28"/>
          <w:szCs w:val="28"/>
        </w:rPr>
        <w:t xml:space="preserve"> agreed by the </w:t>
      </w:r>
      <w:r w:rsidR="00903BCF">
        <w:rPr>
          <w:rFonts w:hint="eastAsia"/>
          <w:sz w:val="28"/>
          <w:szCs w:val="28"/>
        </w:rPr>
        <w:t>associated</w:t>
      </w:r>
      <w:r w:rsidRPr="00142639">
        <w:rPr>
          <w:rFonts w:hint="eastAsia"/>
          <w:sz w:val="28"/>
          <w:szCs w:val="28"/>
        </w:rPr>
        <w:t xml:space="preserve"> university and ITC.</w:t>
      </w:r>
    </w:p>
    <w:p w:rsidR="006E6166" w:rsidRPr="00142639" w:rsidRDefault="00142639" w:rsidP="00583AA4">
      <w:pPr>
        <w:keepNext/>
        <w:widowControl/>
        <w:overflowPunct w:val="0"/>
        <w:snapToGrid w:val="0"/>
        <w:spacing w:before="240" w:after="240"/>
        <w:jc w:val="both"/>
        <w:rPr>
          <w:b/>
          <w:sz w:val="28"/>
          <w:szCs w:val="28"/>
        </w:rPr>
      </w:pPr>
      <w:r w:rsidRPr="00142639">
        <w:rPr>
          <w:rFonts w:hint="eastAsia"/>
          <w:b/>
          <w:sz w:val="28"/>
          <w:szCs w:val="28"/>
        </w:rPr>
        <w:t xml:space="preserve">Respective Responsibilities of [name of the </w:t>
      </w:r>
      <w:r w:rsidR="00962F20">
        <w:rPr>
          <w:rFonts w:hint="eastAsia"/>
          <w:b/>
          <w:sz w:val="28"/>
          <w:szCs w:val="28"/>
        </w:rPr>
        <w:t>start-up</w:t>
      </w:r>
      <w:r w:rsidRPr="00142639">
        <w:rPr>
          <w:rFonts w:hint="eastAsia"/>
          <w:b/>
          <w:sz w:val="28"/>
          <w:szCs w:val="28"/>
        </w:rPr>
        <w:t>] and the auditors</w:t>
      </w:r>
    </w:p>
    <w:p w:rsidR="00142639" w:rsidRDefault="00142639" w:rsidP="00583AA4">
      <w:pPr>
        <w:widowControl/>
        <w:overflowPunct w:val="0"/>
        <w:snapToGrid w:val="0"/>
        <w:spacing w:after="240"/>
        <w:jc w:val="both"/>
        <w:rPr>
          <w:sz w:val="28"/>
          <w:szCs w:val="28"/>
        </w:rPr>
      </w:pPr>
      <w:r>
        <w:rPr>
          <w:rFonts w:hint="eastAsia"/>
          <w:sz w:val="28"/>
          <w:szCs w:val="28"/>
        </w:rPr>
        <w:t xml:space="preserve">ITC requires [name of the </w:t>
      </w:r>
      <w:r w:rsidR="00962F20">
        <w:rPr>
          <w:rFonts w:hint="eastAsia"/>
          <w:sz w:val="28"/>
          <w:szCs w:val="28"/>
        </w:rPr>
        <w:t>start-up</w:t>
      </w:r>
      <w:r>
        <w:rPr>
          <w:rFonts w:hint="eastAsia"/>
          <w:sz w:val="28"/>
          <w:szCs w:val="28"/>
        </w:rPr>
        <w:t>] to comply with the requirements set (</w:t>
      </w:r>
      <w:r w:rsidRPr="00142639">
        <w:rPr>
          <w:sz w:val="28"/>
          <w:szCs w:val="28"/>
        </w:rPr>
        <w:t>including</w:t>
      </w:r>
      <w:r w:rsidRPr="00142639">
        <w:rPr>
          <w:rFonts w:hint="eastAsia"/>
          <w:sz w:val="28"/>
          <w:szCs w:val="28"/>
        </w:rPr>
        <w:t xml:space="preserve"> the requirements to keep proper books and records and to prepare proper</w:t>
      </w:r>
      <w:r w:rsidR="008213A6">
        <w:rPr>
          <w:rFonts w:hint="eastAsia"/>
          <w:sz w:val="28"/>
          <w:szCs w:val="28"/>
        </w:rPr>
        <w:t xml:space="preserve"> Statement of Expenditure</w:t>
      </w:r>
      <w:r w:rsidR="00413D74">
        <w:rPr>
          <w:rFonts w:hint="eastAsia"/>
          <w:sz w:val="28"/>
          <w:szCs w:val="28"/>
        </w:rPr>
        <w:t>)</w:t>
      </w:r>
      <w:r w:rsidRPr="00142639">
        <w:rPr>
          <w:rFonts w:hint="eastAsia"/>
          <w:sz w:val="28"/>
          <w:szCs w:val="28"/>
        </w:rPr>
        <w:t xml:space="preserve">, and all the terms and </w:t>
      </w:r>
      <w:r>
        <w:rPr>
          <w:rFonts w:hint="eastAsia"/>
          <w:sz w:val="28"/>
          <w:szCs w:val="28"/>
        </w:rPr>
        <w:t>conditions of TSSSU</w:t>
      </w:r>
      <w:r w:rsidR="0021601A">
        <w:rPr>
          <w:sz w:val="28"/>
          <w:szCs w:val="28"/>
        </w:rPr>
        <w:t xml:space="preserve"> </w:t>
      </w:r>
      <w:r>
        <w:rPr>
          <w:rFonts w:hint="eastAsia"/>
          <w:sz w:val="28"/>
          <w:szCs w:val="28"/>
        </w:rPr>
        <w:t xml:space="preserve">funding, as specified in the documents mentioned in the above paragraph. </w:t>
      </w:r>
    </w:p>
    <w:p w:rsidR="00142639" w:rsidRDefault="00142639" w:rsidP="00583AA4">
      <w:pPr>
        <w:widowControl/>
        <w:overflowPunct w:val="0"/>
        <w:snapToGrid w:val="0"/>
        <w:spacing w:after="240"/>
        <w:jc w:val="both"/>
        <w:rPr>
          <w:sz w:val="28"/>
          <w:szCs w:val="28"/>
        </w:rPr>
      </w:pPr>
      <w:r>
        <w:rPr>
          <w:rFonts w:hint="eastAsia"/>
          <w:sz w:val="28"/>
          <w:szCs w:val="28"/>
        </w:rPr>
        <w:lastRenderedPageBreak/>
        <w:t xml:space="preserve">It is our responsibility to form an independent conclusion based on our reasonable assurance engagement, and to report our conclusion to you. </w:t>
      </w:r>
    </w:p>
    <w:p w:rsidR="006031D5" w:rsidRPr="006031D5" w:rsidRDefault="006031D5" w:rsidP="00583AA4">
      <w:pPr>
        <w:keepNext/>
        <w:widowControl/>
        <w:overflowPunct w:val="0"/>
        <w:snapToGrid w:val="0"/>
        <w:spacing w:before="240" w:after="240"/>
        <w:jc w:val="both"/>
        <w:rPr>
          <w:b/>
          <w:sz w:val="28"/>
          <w:szCs w:val="28"/>
        </w:rPr>
      </w:pPr>
      <w:r w:rsidRPr="006031D5">
        <w:rPr>
          <w:b/>
          <w:sz w:val="28"/>
          <w:szCs w:val="28"/>
        </w:rPr>
        <w:t>Quality Control and Independence</w:t>
      </w:r>
    </w:p>
    <w:p w:rsidR="006031D5" w:rsidRPr="006031D5" w:rsidRDefault="00B40511" w:rsidP="00583AA4">
      <w:pPr>
        <w:widowControl/>
        <w:overflowPunct w:val="0"/>
        <w:snapToGrid w:val="0"/>
        <w:spacing w:after="240"/>
        <w:jc w:val="both"/>
        <w:rPr>
          <w:sz w:val="28"/>
          <w:szCs w:val="28"/>
        </w:rPr>
      </w:pPr>
      <w:r w:rsidRPr="00B1581C">
        <w:rPr>
          <w:sz w:val="28"/>
          <w:szCs w:val="28"/>
        </w:rPr>
        <w:t>Our firm applies Hong Kong Standard on Quality Management 1, which requires our firm to design, implement and operate a system of quality management including polices or procedures regarding compliance with ethical requirements, professional standards and applicable legal and regulatory requirements</w:t>
      </w:r>
      <w:r w:rsidR="006031D5" w:rsidRPr="00B1581C">
        <w:rPr>
          <w:sz w:val="28"/>
          <w:szCs w:val="28"/>
        </w:rPr>
        <w:t>.</w:t>
      </w:r>
    </w:p>
    <w:p w:rsidR="006031D5" w:rsidRPr="006031D5" w:rsidRDefault="006031D5" w:rsidP="00583AA4">
      <w:pPr>
        <w:widowControl/>
        <w:overflowPunct w:val="0"/>
        <w:snapToGrid w:val="0"/>
        <w:spacing w:after="240"/>
        <w:jc w:val="both"/>
        <w:rPr>
          <w:sz w:val="28"/>
          <w:szCs w:val="28"/>
        </w:rPr>
      </w:pPr>
      <w:r w:rsidRPr="006031D5">
        <w:rPr>
          <w:sz w:val="28"/>
          <w:szCs w:val="28"/>
        </w:rPr>
        <w:t>We have complied with the independence and other ethical requirements of the Code of Ethics for Professional Accountants issued by the Hong Kong Institute of Certified Public Accountants (</w:t>
      </w:r>
      <w:r w:rsidR="00467C8F">
        <w:rPr>
          <w:sz w:val="28"/>
          <w:szCs w:val="28"/>
        </w:rPr>
        <w:t>“</w:t>
      </w:r>
      <w:r w:rsidRPr="006031D5">
        <w:rPr>
          <w:sz w:val="28"/>
          <w:szCs w:val="28"/>
        </w:rPr>
        <w:t>HKICPA</w:t>
      </w:r>
      <w:r w:rsidR="00467C8F">
        <w:rPr>
          <w:sz w:val="28"/>
          <w:szCs w:val="28"/>
        </w:rPr>
        <w:t>”</w:t>
      </w:r>
      <w:r w:rsidRPr="006031D5">
        <w:rPr>
          <w:sz w:val="28"/>
          <w:szCs w:val="28"/>
        </w:rPr>
        <w:t>), which is founded on fundamental principles of integrity, objectivity, professional competence and due care, confidentiality and professional behaviour.</w:t>
      </w:r>
    </w:p>
    <w:p w:rsidR="00142639" w:rsidRPr="00142639" w:rsidRDefault="00142639" w:rsidP="00583AA4">
      <w:pPr>
        <w:keepNext/>
        <w:widowControl/>
        <w:overflowPunct w:val="0"/>
        <w:snapToGrid w:val="0"/>
        <w:spacing w:before="240" w:after="240"/>
        <w:jc w:val="both"/>
        <w:rPr>
          <w:b/>
          <w:sz w:val="28"/>
          <w:szCs w:val="28"/>
        </w:rPr>
      </w:pPr>
      <w:r w:rsidRPr="00142639">
        <w:rPr>
          <w:rFonts w:hint="eastAsia"/>
          <w:b/>
          <w:sz w:val="28"/>
          <w:szCs w:val="28"/>
        </w:rPr>
        <w:t>Basis of conclusion</w:t>
      </w:r>
    </w:p>
    <w:p w:rsidR="00142639" w:rsidRDefault="00142639" w:rsidP="00583AA4">
      <w:pPr>
        <w:widowControl/>
        <w:overflowPunct w:val="0"/>
        <w:snapToGrid w:val="0"/>
        <w:spacing w:after="240"/>
        <w:jc w:val="both"/>
        <w:rPr>
          <w:sz w:val="28"/>
          <w:szCs w:val="28"/>
        </w:rPr>
      </w:pPr>
      <w:r>
        <w:rPr>
          <w:rFonts w:hint="eastAsia"/>
          <w:sz w:val="28"/>
          <w:szCs w:val="28"/>
        </w:rPr>
        <w:t>We conducted our reasonable assurance engagement in accordance with the Hong Kong Standard on Assurance Engagement</w:t>
      </w:r>
      <w:r w:rsidR="00981BBD">
        <w:rPr>
          <w:rFonts w:hint="eastAsia"/>
          <w:sz w:val="28"/>
          <w:szCs w:val="28"/>
        </w:rPr>
        <w:t>s</w:t>
      </w:r>
      <w:r>
        <w:rPr>
          <w:rFonts w:hint="eastAsia"/>
          <w:sz w:val="28"/>
          <w:szCs w:val="28"/>
        </w:rPr>
        <w:t xml:space="preserve"> 3000 (Revised) </w:t>
      </w:r>
      <w:r w:rsidR="00A620F5">
        <w:rPr>
          <w:sz w:val="28"/>
          <w:szCs w:val="28"/>
        </w:rPr>
        <w:t>“</w:t>
      </w:r>
      <w:r w:rsidR="005F5B74">
        <w:rPr>
          <w:rFonts w:hint="eastAsia"/>
          <w:sz w:val="28"/>
          <w:szCs w:val="28"/>
        </w:rPr>
        <w:t>Assurance Engagements Other t</w:t>
      </w:r>
      <w:r>
        <w:rPr>
          <w:rFonts w:hint="eastAsia"/>
          <w:sz w:val="28"/>
          <w:szCs w:val="28"/>
        </w:rPr>
        <w:t>han Audits or Reviews of Historical Financial Information</w:t>
      </w:r>
      <w:r w:rsidR="00A620F5">
        <w:rPr>
          <w:sz w:val="28"/>
          <w:szCs w:val="28"/>
        </w:rPr>
        <w:t>”</w:t>
      </w:r>
      <w:r w:rsidR="00A620F5">
        <w:rPr>
          <w:rFonts w:hint="eastAsia"/>
          <w:sz w:val="28"/>
          <w:szCs w:val="28"/>
        </w:rPr>
        <w:t xml:space="preserve"> </w:t>
      </w:r>
      <w:r>
        <w:rPr>
          <w:rFonts w:hint="eastAsia"/>
          <w:sz w:val="28"/>
          <w:szCs w:val="28"/>
        </w:rPr>
        <w:t xml:space="preserve">issued by the </w:t>
      </w:r>
      <w:r w:rsidR="006031D5">
        <w:rPr>
          <w:rFonts w:hint="eastAsia"/>
          <w:sz w:val="28"/>
          <w:szCs w:val="28"/>
        </w:rPr>
        <w:t xml:space="preserve">HKICPA </w:t>
      </w:r>
      <w:r>
        <w:rPr>
          <w:rFonts w:hint="eastAsia"/>
          <w:sz w:val="28"/>
          <w:szCs w:val="28"/>
        </w:rPr>
        <w:t>and the latest Notes for Auditors (i.e. Annex C</w:t>
      </w:r>
      <w:r w:rsidR="006031D5">
        <w:rPr>
          <w:rFonts w:hint="eastAsia"/>
          <w:sz w:val="28"/>
          <w:szCs w:val="28"/>
        </w:rPr>
        <w:t xml:space="preserve"> to the TSSSU</w:t>
      </w:r>
      <w:r w:rsidR="006031D5" w:rsidRPr="00142639">
        <w:rPr>
          <w:rFonts w:hint="eastAsia"/>
          <w:sz w:val="28"/>
          <w:szCs w:val="28"/>
        </w:rPr>
        <w:t xml:space="preserve"> Guidelines</w:t>
      </w:r>
      <w:r>
        <w:rPr>
          <w:rFonts w:hint="eastAsia"/>
          <w:sz w:val="28"/>
          <w:szCs w:val="28"/>
        </w:rPr>
        <w:t>) issued in [</w:t>
      </w:r>
      <w:r w:rsidR="00981BBD">
        <w:rPr>
          <w:rFonts w:hint="eastAsia"/>
          <w:sz w:val="28"/>
          <w:szCs w:val="28"/>
        </w:rPr>
        <w:t xml:space="preserve">date </w:t>
      </w:r>
      <w:r w:rsidR="008213A6">
        <w:rPr>
          <w:rFonts w:hint="eastAsia"/>
          <w:sz w:val="28"/>
          <w:szCs w:val="28"/>
        </w:rPr>
        <w:t>to be inserted as appropriate</w:t>
      </w:r>
      <w:r>
        <w:rPr>
          <w:rFonts w:hint="eastAsia"/>
          <w:sz w:val="28"/>
          <w:szCs w:val="28"/>
        </w:rPr>
        <w:t>]</w:t>
      </w:r>
      <w:r w:rsidR="008213A6">
        <w:rPr>
          <w:rFonts w:hint="eastAsia"/>
          <w:sz w:val="28"/>
          <w:szCs w:val="28"/>
        </w:rPr>
        <w:t xml:space="preserve"> by </w:t>
      </w:r>
      <w:r w:rsidR="001D4724">
        <w:rPr>
          <w:rFonts w:hint="eastAsia"/>
          <w:sz w:val="28"/>
          <w:szCs w:val="28"/>
        </w:rPr>
        <w:t>ITC</w:t>
      </w:r>
      <w:r>
        <w:rPr>
          <w:rFonts w:hint="eastAsia"/>
          <w:sz w:val="28"/>
          <w:szCs w:val="28"/>
        </w:rPr>
        <w:t>.</w:t>
      </w:r>
    </w:p>
    <w:p w:rsidR="00142639" w:rsidRDefault="00142639" w:rsidP="00583AA4">
      <w:pPr>
        <w:widowControl/>
        <w:overflowPunct w:val="0"/>
        <w:snapToGrid w:val="0"/>
        <w:spacing w:after="240"/>
        <w:jc w:val="both"/>
        <w:rPr>
          <w:sz w:val="28"/>
          <w:szCs w:val="28"/>
        </w:rPr>
      </w:pPr>
      <w:r>
        <w:rPr>
          <w:rFonts w:hint="eastAsia"/>
          <w:sz w:val="28"/>
          <w:szCs w:val="28"/>
        </w:rPr>
        <w:t xml:space="preserve">Our </w:t>
      </w:r>
      <w:r>
        <w:rPr>
          <w:sz w:val="28"/>
          <w:szCs w:val="28"/>
        </w:rPr>
        <w:t>reasonable</w:t>
      </w:r>
      <w:r>
        <w:rPr>
          <w:rFonts w:hint="eastAsia"/>
          <w:sz w:val="28"/>
          <w:szCs w:val="28"/>
        </w:rPr>
        <w:t xml:space="preserve"> assurance engagement includes examination, on a test basis, of evidence relevant to [name of the </w:t>
      </w:r>
      <w:r w:rsidR="00962F20">
        <w:rPr>
          <w:rFonts w:hint="eastAsia"/>
          <w:sz w:val="28"/>
          <w:szCs w:val="28"/>
        </w:rPr>
        <w:t>start-up</w:t>
      </w:r>
      <w:r>
        <w:rPr>
          <w:rFonts w:hint="eastAsia"/>
          <w:sz w:val="28"/>
          <w:szCs w:val="28"/>
        </w:rPr>
        <w:t>]</w:t>
      </w:r>
      <w:r>
        <w:rPr>
          <w:sz w:val="28"/>
          <w:szCs w:val="28"/>
        </w:rPr>
        <w:t>’</w:t>
      </w:r>
      <w:r>
        <w:rPr>
          <w:rFonts w:hint="eastAsia"/>
          <w:sz w:val="28"/>
          <w:szCs w:val="28"/>
        </w:rPr>
        <w:t>s compliance with the requirements set by ITC (</w:t>
      </w:r>
      <w:r w:rsidRPr="00142639">
        <w:rPr>
          <w:sz w:val="28"/>
          <w:szCs w:val="28"/>
        </w:rPr>
        <w:t>including</w:t>
      </w:r>
      <w:r w:rsidRPr="00142639">
        <w:rPr>
          <w:rFonts w:hint="eastAsia"/>
          <w:sz w:val="28"/>
          <w:szCs w:val="28"/>
        </w:rPr>
        <w:t xml:space="preserve"> the requirements to keep proper books and records and to prepare proper</w:t>
      </w:r>
      <w:r w:rsidR="008213A6">
        <w:rPr>
          <w:rFonts w:hint="eastAsia"/>
          <w:sz w:val="28"/>
          <w:szCs w:val="28"/>
        </w:rPr>
        <w:t xml:space="preserve"> Statement of Expenditure</w:t>
      </w:r>
      <w:r w:rsidR="00413D74">
        <w:rPr>
          <w:rFonts w:hint="eastAsia"/>
          <w:sz w:val="28"/>
          <w:szCs w:val="28"/>
        </w:rPr>
        <w:t>)</w:t>
      </w:r>
      <w:r w:rsidRPr="00142639">
        <w:rPr>
          <w:rFonts w:hint="eastAsia"/>
          <w:sz w:val="28"/>
          <w:szCs w:val="28"/>
        </w:rPr>
        <w:t xml:space="preserve"> and all the terms and </w:t>
      </w:r>
      <w:r>
        <w:rPr>
          <w:rFonts w:hint="eastAsia"/>
          <w:sz w:val="28"/>
          <w:szCs w:val="28"/>
        </w:rPr>
        <w:t xml:space="preserve">conditions of TSSSU funding, as specified in the documents mentioned in the above first paragraph.  It also includes an assessment of the significant estimates and judgments made by [name of the </w:t>
      </w:r>
      <w:r w:rsidR="00962F20">
        <w:rPr>
          <w:rFonts w:hint="eastAsia"/>
          <w:sz w:val="28"/>
          <w:szCs w:val="28"/>
        </w:rPr>
        <w:t>start-up</w:t>
      </w:r>
      <w:r>
        <w:rPr>
          <w:rFonts w:hint="eastAsia"/>
          <w:sz w:val="28"/>
          <w:szCs w:val="28"/>
        </w:rPr>
        <w:t xml:space="preserve">] in the preparation of the </w:t>
      </w:r>
      <w:r w:rsidR="008213A6">
        <w:rPr>
          <w:rFonts w:hint="eastAsia"/>
          <w:sz w:val="28"/>
          <w:szCs w:val="28"/>
        </w:rPr>
        <w:t>Statement of Expenditure</w:t>
      </w:r>
      <w:r>
        <w:rPr>
          <w:rFonts w:hint="eastAsia"/>
          <w:sz w:val="28"/>
          <w:szCs w:val="28"/>
        </w:rPr>
        <w:t>, and of whether the accounting policies have followed the requirements of TSSSU, consistently applied an</w:t>
      </w:r>
      <w:r w:rsidR="006031D5">
        <w:rPr>
          <w:rFonts w:hint="eastAsia"/>
          <w:sz w:val="28"/>
          <w:szCs w:val="28"/>
        </w:rPr>
        <w:t>d</w:t>
      </w:r>
      <w:r>
        <w:rPr>
          <w:rFonts w:hint="eastAsia"/>
          <w:sz w:val="28"/>
          <w:szCs w:val="28"/>
        </w:rPr>
        <w:t xml:space="preserve"> adequately disclosed. </w:t>
      </w:r>
    </w:p>
    <w:p w:rsidR="005F5B74" w:rsidRDefault="005F5B74" w:rsidP="00583AA4">
      <w:pPr>
        <w:widowControl/>
        <w:overflowPunct w:val="0"/>
        <w:snapToGrid w:val="0"/>
        <w:spacing w:after="240"/>
        <w:jc w:val="both"/>
        <w:rPr>
          <w:sz w:val="28"/>
          <w:szCs w:val="28"/>
        </w:rPr>
      </w:pPr>
      <w:r>
        <w:rPr>
          <w:rFonts w:hint="eastAsia"/>
          <w:sz w:val="28"/>
          <w:szCs w:val="28"/>
        </w:rPr>
        <w:t xml:space="preserve">We planned and performed our </w:t>
      </w:r>
      <w:r>
        <w:rPr>
          <w:sz w:val="28"/>
          <w:szCs w:val="28"/>
        </w:rPr>
        <w:t>reasonable</w:t>
      </w:r>
      <w:r>
        <w:rPr>
          <w:rFonts w:hint="eastAsia"/>
          <w:sz w:val="28"/>
          <w:szCs w:val="28"/>
        </w:rPr>
        <w:t xml:space="preserve"> assurance engagement so as to obtain all the information and explanations which we considered necessary in order to provide us with sufficient evidence to give our conclusion as to whether [name </w:t>
      </w:r>
      <w:r>
        <w:rPr>
          <w:rFonts w:hint="eastAsia"/>
          <w:sz w:val="28"/>
          <w:szCs w:val="28"/>
        </w:rPr>
        <w:lastRenderedPageBreak/>
        <w:t xml:space="preserve">of the </w:t>
      </w:r>
      <w:r w:rsidR="00962F20">
        <w:rPr>
          <w:rFonts w:hint="eastAsia"/>
          <w:sz w:val="28"/>
          <w:szCs w:val="28"/>
        </w:rPr>
        <w:t>start-up</w:t>
      </w:r>
      <w:r>
        <w:rPr>
          <w:rFonts w:hint="eastAsia"/>
          <w:sz w:val="28"/>
          <w:szCs w:val="28"/>
        </w:rPr>
        <w:t xml:space="preserve">] has complied </w:t>
      </w:r>
      <w:r>
        <w:rPr>
          <w:sz w:val="28"/>
          <w:szCs w:val="28"/>
        </w:rPr>
        <w:t>with</w:t>
      </w:r>
      <w:r>
        <w:rPr>
          <w:rFonts w:hint="eastAsia"/>
          <w:sz w:val="28"/>
          <w:szCs w:val="28"/>
        </w:rPr>
        <w:t>, in all material respects, the requirements set by ITC (</w:t>
      </w:r>
      <w:r w:rsidRPr="00142639">
        <w:rPr>
          <w:sz w:val="28"/>
          <w:szCs w:val="28"/>
        </w:rPr>
        <w:t>including</w:t>
      </w:r>
      <w:r w:rsidRPr="00142639">
        <w:rPr>
          <w:rFonts w:hint="eastAsia"/>
          <w:sz w:val="28"/>
          <w:szCs w:val="28"/>
        </w:rPr>
        <w:t xml:space="preserve"> the requirements to keep proper books and records and to prepare proper </w:t>
      </w:r>
      <w:r w:rsidR="003F4941">
        <w:rPr>
          <w:rFonts w:hint="eastAsia"/>
          <w:sz w:val="28"/>
          <w:szCs w:val="28"/>
        </w:rPr>
        <w:t>Statement of Expenditure</w:t>
      </w:r>
      <w:r w:rsidR="00413D74">
        <w:rPr>
          <w:rFonts w:hint="eastAsia"/>
          <w:sz w:val="28"/>
          <w:szCs w:val="28"/>
        </w:rPr>
        <w:t>)</w:t>
      </w:r>
      <w:r w:rsidRPr="00142639">
        <w:rPr>
          <w:rFonts w:hint="eastAsia"/>
          <w:sz w:val="28"/>
          <w:szCs w:val="28"/>
        </w:rPr>
        <w:t xml:space="preserve">, and all the terms and </w:t>
      </w:r>
      <w:r>
        <w:rPr>
          <w:rFonts w:hint="eastAsia"/>
          <w:sz w:val="28"/>
          <w:szCs w:val="28"/>
        </w:rPr>
        <w:t xml:space="preserve">conditions of TSSSU funding, as specified in the documents mentioned in the above first paragraph.  In forming our conclusion, we also evaluated the overall adequacy of the presentation of information in the </w:t>
      </w:r>
      <w:r w:rsidR="0075121B" w:rsidRPr="00757A78">
        <w:rPr>
          <w:sz w:val="28"/>
          <w:szCs w:val="28"/>
        </w:rPr>
        <w:t>statement of expenditure plus relevant notes, if applicable</w:t>
      </w:r>
      <w:r>
        <w:rPr>
          <w:rFonts w:hint="eastAsia"/>
          <w:sz w:val="28"/>
          <w:szCs w:val="28"/>
        </w:rPr>
        <w:t xml:space="preserve">. We believe that our reasonable assurance engagement provides a reasonable basis for our conclusion. </w:t>
      </w:r>
    </w:p>
    <w:p w:rsidR="005F5B74" w:rsidRPr="00931120" w:rsidRDefault="005F5B74" w:rsidP="00583AA4">
      <w:pPr>
        <w:keepNext/>
        <w:widowControl/>
        <w:overflowPunct w:val="0"/>
        <w:snapToGrid w:val="0"/>
        <w:spacing w:before="240" w:after="240"/>
        <w:jc w:val="both"/>
        <w:rPr>
          <w:b/>
          <w:sz w:val="28"/>
          <w:szCs w:val="28"/>
        </w:rPr>
      </w:pPr>
      <w:r w:rsidRPr="00931120">
        <w:rPr>
          <w:rFonts w:hint="eastAsia"/>
          <w:b/>
          <w:sz w:val="28"/>
          <w:szCs w:val="28"/>
        </w:rPr>
        <w:t>Conclusion</w:t>
      </w:r>
    </w:p>
    <w:p w:rsidR="005F5B74" w:rsidRDefault="007F13F3" w:rsidP="00583AA4">
      <w:pPr>
        <w:widowControl/>
        <w:overflowPunct w:val="0"/>
        <w:snapToGrid w:val="0"/>
        <w:spacing w:after="240"/>
        <w:jc w:val="both"/>
        <w:rPr>
          <w:sz w:val="28"/>
          <w:szCs w:val="28"/>
        </w:rPr>
      </w:pPr>
      <w:r>
        <w:rPr>
          <w:rFonts w:hint="eastAsia"/>
          <w:sz w:val="28"/>
          <w:szCs w:val="28"/>
        </w:rPr>
        <w:t xml:space="preserve">Based on the foregoing, </w:t>
      </w:r>
      <w:r>
        <w:rPr>
          <w:sz w:val="28"/>
          <w:szCs w:val="28"/>
        </w:rPr>
        <w:t>i</w:t>
      </w:r>
      <w:r w:rsidR="005F5B74">
        <w:rPr>
          <w:rFonts w:hint="eastAsia"/>
          <w:sz w:val="28"/>
          <w:szCs w:val="28"/>
        </w:rPr>
        <w:t xml:space="preserve">n our opinion, [name of </w:t>
      </w:r>
      <w:r w:rsidR="00A969D2">
        <w:rPr>
          <w:rFonts w:hint="eastAsia"/>
          <w:sz w:val="28"/>
          <w:szCs w:val="28"/>
        </w:rPr>
        <w:t xml:space="preserve">the </w:t>
      </w:r>
      <w:r w:rsidR="00962F20">
        <w:rPr>
          <w:rFonts w:hint="eastAsia"/>
          <w:sz w:val="28"/>
          <w:szCs w:val="28"/>
        </w:rPr>
        <w:t>start-up</w:t>
      </w:r>
      <w:r w:rsidR="005F5B74">
        <w:rPr>
          <w:rFonts w:hint="eastAsia"/>
          <w:sz w:val="28"/>
          <w:szCs w:val="28"/>
        </w:rPr>
        <w:t xml:space="preserve">] has complied with, in all </w:t>
      </w:r>
      <w:r w:rsidR="005F5B74">
        <w:rPr>
          <w:sz w:val="28"/>
          <w:szCs w:val="28"/>
        </w:rPr>
        <w:t>material</w:t>
      </w:r>
      <w:r w:rsidR="005F5B74">
        <w:rPr>
          <w:rFonts w:hint="eastAsia"/>
          <w:sz w:val="28"/>
          <w:szCs w:val="28"/>
        </w:rPr>
        <w:t xml:space="preserve"> respects, the requirements set by ITC (</w:t>
      </w:r>
      <w:r w:rsidR="005F5B74" w:rsidRPr="00142639">
        <w:rPr>
          <w:sz w:val="28"/>
          <w:szCs w:val="28"/>
        </w:rPr>
        <w:t>including</w:t>
      </w:r>
      <w:r w:rsidR="005F5B74" w:rsidRPr="00142639">
        <w:rPr>
          <w:rFonts w:hint="eastAsia"/>
          <w:sz w:val="28"/>
          <w:szCs w:val="28"/>
        </w:rPr>
        <w:t xml:space="preserve"> the requirements to keep proper books and records and to prepare proper</w:t>
      </w:r>
      <w:r w:rsidR="003F4941">
        <w:rPr>
          <w:rFonts w:hint="eastAsia"/>
          <w:sz w:val="28"/>
          <w:szCs w:val="28"/>
        </w:rPr>
        <w:t xml:space="preserve"> Statement of Expenditure</w:t>
      </w:r>
      <w:r w:rsidR="00413D74">
        <w:rPr>
          <w:rFonts w:hint="eastAsia"/>
          <w:sz w:val="28"/>
          <w:szCs w:val="28"/>
        </w:rPr>
        <w:t>)</w:t>
      </w:r>
      <w:r w:rsidR="005F5B74" w:rsidRPr="00142639">
        <w:rPr>
          <w:rFonts w:hint="eastAsia"/>
          <w:sz w:val="28"/>
          <w:szCs w:val="28"/>
        </w:rPr>
        <w:t xml:space="preserve"> and all the terms and </w:t>
      </w:r>
      <w:r w:rsidR="005F5B74">
        <w:rPr>
          <w:rFonts w:hint="eastAsia"/>
          <w:sz w:val="28"/>
          <w:szCs w:val="28"/>
        </w:rPr>
        <w:t>conditions of TSSSU funding, as specified in the documents mentioned in the above first paragraph.</w:t>
      </w:r>
      <w:r w:rsidRPr="007F13F3">
        <w:rPr>
          <w:sz w:val="28"/>
          <w:szCs w:val="28"/>
        </w:rPr>
        <w:t xml:space="preserve"> </w:t>
      </w:r>
      <w:r w:rsidR="006319F6">
        <w:rPr>
          <w:sz w:val="28"/>
          <w:szCs w:val="28"/>
        </w:rPr>
        <w:t xml:space="preserve"> </w:t>
      </w:r>
      <w:r w:rsidR="00417AC6">
        <w:rPr>
          <w:sz w:val="28"/>
          <w:szCs w:val="28"/>
        </w:rPr>
        <w:t xml:space="preserve">[For </w:t>
      </w:r>
      <w:r>
        <w:rPr>
          <w:sz w:val="28"/>
          <w:szCs w:val="28"/>
        </w:rPr>
        <w:t>start-ups</w:t>
      </w:r>
      <w:r w:rsidR="00417AC6">
        <w:rPr>
          <w:sz w:val="28"/>
          <w:szCs w:val="28"/>
        </w:rPr>
        <w:t xml:space="preserve"> funded under TSSSU+</w:t>
      </w:r>
      <w:r>
        <w:rPr>
          <w:sz w:val="28"/>
          <w:szCs w:val="28"/>
        </w:rPr>
        <w:t xml:space="preserve">: We </w:t>
      </w:r>
      <w:r w:rsidR="006319F6">
        <w:rPr>
          <w:sz w:val="28"/>
          <w:szCs w:val="28"/>
        </w:rPr>
        <w:t xml:space="preserve">also </w:t>
      </w:r>
      <w:r w:rsidR="0021601A">
        <w:rPr>
          <w:sz w:val="28"/>
          <w:szCs w:val="28"/>
        </w:rPr>
        <w:t>confirm</w:t>
      </w:r>
      <w:r>
        <w:rPr>
          <w:sz w:val="28"/>
          <w:szCs w:val="28"/>
        </w:rPr>
        <w:t xml:space="preserve"> that </w:t>
      </w:r>
      <w:r>
        <w:rPr>
          <w:rFonts w:hint="eastAsia"/>
          <w:sz w:val="28"/>
          <w:szCs w:val="28"/>
        </w:rPr>
        <w:t>[name of the start-up]</w:t>
      </w:r>
      <w:r>
        <w:rPr>
          <w:sz w:val="28"/>
          <w:szCs w:val="28"/>
        </w:rPr>
        <w:t xml:space="preserve"> </w:t>
      </w:r>
      <w:r w:rsidR="00347BDB">
        <w:rPr>
          <w:sz w:val="28"/>
          <w:szCs w:val="28"/>
        </w:rPr>
        <w:t>has received</w:t>
      </w:r>
      <w:r>
        <w:rPr>
          <w:sz w:val="28"/>
          <w:szCs w:val="28"/>
        </w:rPr>
        <w:t xml:space="preserve"> [</w:t>
      </w:r>
      <w:r w:rsidR="00347BDB">
        <w:rPr>
          <w:sz w:val="28"/>
          <w:szCs w:val="28"/>
        </w:rPr>
        <w:t xml:space="preserve">total </w:t>
      </w:r>
      <w:r>
        <w:rPr>
          <w:sz w:val="28"/>
          <w:szCs w:val="28"/>
        </w:rPr>
        <w:t xml:space="preserve">amount of </w:t>
      </w:r>
      <w:r w:rsidR="00347BDB">
        <w:rPr>
          <w:sz w:val="28"/>
          <w:szCs w:val="28"/>
        </w:rPr>
        <w:t xml:space="preserve">private </w:t>
      </w:r>
      <w:r>
        <w:rPr>
          <w:sz w:val="28"/>
          <w:szCs w:val="28"/>
        </w:rPr>
        <w:t xml:space="preserve">investment received] from [name of the investor] during the </w:t>
      </w:r>
      <w:r w:rsidR="00BB181C">
        <w:rPr>
          <w:sz w:val="28"/>
          <w:szCs w:val="28"/>
        </w:rPr>
        <w:t xml:space="preserve">recognised matching </w:t>
      </w:r>
      <w:r>
        <w:rPr>
          <w:sz w:val="28"/>
          <w:szCs w:val="28"/>
        </w:rPr>
        <w:t xml:space="preserve">period.] </w:t>
      </w:r>
      <w:r w:rsidRPr="007F13F3">
        <w:rPr>
          <w:rFonts w:hint="eastAsia"/>
          <w:sz w:val="28"/>
          <w:szCs w:val="28"/>
        </w:rPr>
        <w:t xml:space="preserve"> </w:t>
      </w:r>
    </w:p>
    <w:p w:rsidR="005F5B74" w:rsidRPr="00931120" w:rsidRDefault="005F5B74" w:rsidP="00583AA4">
      <w:pPr>
        <w:keepNext/>
        <w:widowControl/>
        <w:overflowPunct w:val="0"/>
        <w:snapToGrid w:val="0"/>
        <w:spacing w:before="240" w:after="240"/>
        <w:jc w:val="both"/>
        <w:rPr>
          <w:b/>
          <w:sz w:val="28"/>
          <w:szCs w:val="28"/>
        </w:rPr>
      </w:pPr>
      <w:r w:rsidRPr="00931120">
        <w:rPr>
          <w:rFonts w:hint="eastAsia"/>
          <w:b/>
          <w:sz w:val="28"/>
          <w:szCs w:val="28"/>
        </w:rPr>
        <w:t>Use of this report</w:t>
      </w:r>
    </w:p>
    <w:p w:rsidR="005F5B74" w:rsidRDefault="005F5B74" w:rsidP="00583AA4">
      <w:pPr>
        <w:widowControl/>
        <w:overflowPunct w:val="0"/>
        <w:snapToGrid w:val="0"/>
        <w:spacing w:after="720"/>
        <w:jc w:val="both"/>
        <w:rPr>
          <w:sz w:val="28"/>
          <w:szCs w:val="28"/>
        </w:rPr>
      </w:pPr>
      <w:r>
        <w:rPr>
          <w:rFonts w:hint="eastAsia"/>
          <w:sz w:val="28"/>
          <w:szCs w:val="28"/>
        </w:rPr>
        <w:t xml:space="preserve">This report is intended for filing by [name of the </w:t>
      </w:r>
      <w:r w:rsidR="00962F20">
        <w:rPr>
          <w:sz w:val="28"/>
          <w:szCs w:val="28"/>
        </w:rPr>
        <w:t>start-up</w:t>
      </w:r>
      <w:r>
        <w:rPr>
          <w:rFonts w:hint="eastAsia"/>
          <w:sz w:val="28"/>
          <w:szCs w:val="28"/>
        </w:rPr>
        <w:t xml:space="preserve">] with the HKSAR Government and </w:t>
      </w:r>
      <w:r w:rsidR="009C123C">
        <w:rPr>
          <w:rFonts w:hint="eastAsia"/>
          <w:sz w:val="28"/>
          <w:szCs w:val="28"/>
        </w:rPr>
        <w:t xml:space="preserve">the </w:t>
      </w:r>
      <w:r w:rsidR="00903BCF">
        <w:rPr>
          <w:rFonts w:hint="eastAsia"/>
          <w:sz w:val="28"/>
          <w:szCs w:val="28"/>
        </w:rPr>
        <w:t>associated</w:t>
      </w:r>
      <w:r w:rsidR="009C123C">
        <w:rPr>
          <w:rFonts w:hint="eastAsia"/>
          <w:sz w:val="28"/>
          <w:szCs w:val="28"/>
        </w:rPr>
        <w:t xml:space="preserve"> university</w:t>
      </w:r>
      <w:r>
        <w:rPr>
          <w:rFonts w:hint="eastAsia"/>
          <w:sz w:val="28"/>
          <w:szCs w:val="28"/>
        </w:rPr>
        <w:t xml:space="preserve">, and is not </w:t>
      </w:r>
      <w:r>
        <w:rPr>
          <w:sz w:val="28"/>
          <w:szCs w:val="28"/>
        </w:rPr>
        <w:t>intended</w:t>
      </w:r>
      <w:r>
        <w:rPr>
          <w:rFonts w:hint="eastAsia"/>
          <w:sz w:val="28"/>
          <w:szCs w:val="28"/>
        </w:rPr>
        <w:t xml:space="preserve"> to be, and should not be, used by anyone except the above three parties for any other purposes.</w:t>
      </w:r>
    </w:p>
    <w:tbl>
      <w:tblPr>
        <w:tblW w:w="9072" w:type="dxa"/>
        <w:tblLook w:val="04A0" w:firstRow="1" w:lastRow="0" w:firstColumn="1" w:lastColumn="0" w:noHBand="0" w:noVBand="1"/>
      </w:tblPr>
      <w:tblGrid>
        <w:gridCol w:w="3456"/>
        <w:gridCol w:w="576"/>
        <w:gridCol w:w="5040"/>
      </w:tblGrid>
      <w:tr w:rsidR="00D23201" w:rsidRPr="00807984" w:rsidTr="00583AA4">
        <w:tc>
          <w:tcPr>
            <w:tcW w:w="3456" w:type="dxa"/>
            <w:shd w:val="clear" w:color="auto" w:fill="auto"/>
          </w:tcPr>
          <w:p w:rsidR="00D23201" w:rsidRDefault="00D23201" w:rsidP="00583AA4">
            <w:pPr>
              <w:widowControl/>
              <w:overflowPunct w:val="0"/>
              <w:snapToGrid w:val="0"/>
              <w:rPr>
                <w:sz w:val="28"/>
                <w:szCs w:val="28"/>
              </w:rPr>
            </w:pPr>
            <w:r w:rsidRPr="00807984">
              <w:rPr>
                <w:rFonts w:hint="eastAsia"/>
                <w:sz w:val="28"/>
                <w:szCs w:val="28"/>
              </w:rPr>
              <w:t>[Name of the auditing firm]</w:t>
            </w:r>
          </w:p>
          <w:p w:rsidR="00DF453D" w:rsidRPr="00807984" w:rsidRDefault="00DF453D" w:rsidP="00583AA4">
            <w:pPr>
              <w:widowControl/>
              <w:overflowPunct w:val="0"/>
              <w:snapToGrid w:val="0"/>
              <w:rPr>
                <w:sz w:val="28"/>
                <w:szCs w:val="28"/>
              </w:rPr>
            </w:pPr>
            <w:r w:rsidRPr="00807984">
              <w:rPr>
                <w:rFonts w:hint="eastAsia"/>
                <w:sz w:val="28"/>
                <w:szCs w:val="28"/>
              </w:rPr>
              <w:t>Certified Public Accountants (Practising)</w:t>
            </w:r>
          </w:p>
        </w:tc>
        <w:tc>
          <w:tcPr>
            <w:tcW w:w="576" w:type="dxa"/>
            <w:shd w:val="clear" w:color="auto" w:fill="auto"/>
          </w:tcPr>
          <w:p w:rsidR="00D23201" w:rsidRPr="00807984" w:rsidRDefault="00D23201" w:rsidP="00583AA4">
            <w:pPr>
              <w:widowControl/>
              <w:overflowPunct w:val="0"/>
              <w:snapToGrid w:val="0"/>
              <w:jc w:val="center"/>
              <w:rPr>
                <w:sz w:val="28"/>
                <w:szCs w:val="28"/>
              </w:rPr>
            </w:pPr>
            <w:r w:rsidRPr="00807984">
              <w:rPr>
                <w:rFonts w:hint="eastAsia"/>
                <w:sz w:val="28"/>
                <w:szCs w:val="28"/>
              </w:rPr>
              <w:t>or</w:t>
            </w:r>
          </w:p>
        </w:tc>
        <w:tc>
          <w:tcPr>
            <w:tcW w:w="5040" w:type="dxa"/>
            <w:shd w:val="clear" w:color="auto" w:fill="auto"/>
          </w:tcPr>
          <w:p w:rsidR="00D23201" w:rsidRPr="00807984" w:rsidRDefault="00D23201" w:rsidP="00583AA4">
            <w:pPr>
              <w:widowControl/>
              <w:overflowPunct w:val="0"/>
              <w:snapToGrid w:val="0"/>
              <w:rPr>
                <w:sz w:val="28"/>
                <w:szCs w:val="28"/>
              </w:rPr>
            </w:pPr>
            <w:r w:rsidRPr="00807984">
              <w:rPr>
                <w:sz w:val="28"/>
                <w:szCs w:val="28"/>
              </w:rPr>
              <w:t>[Name of auditor]</w:t>
            </w:r>
          </w:p>
          <w:p w:rsidR="00D23201" w:rsidRPr="00807984" w:rsidRDefault="00D23201" w:rsidP="00583AA4">
            <w:pPr>
              <w:widowControl/>
              <w:overflowPunct w:val="0"/>
              <w:snapToGrid w:val="0"/>
              <w:rPr>
                <w:sz w:val="28"/>
                <w:szCs w:val="28"/>
              </w:rPr>
            </w:pPr>
            <w:r w:rsidRPr="00807984">
              <w:rPr>
                <w:rFonts w:hint="eastAsia"/>
                <w:sz w:val="28"/>
                <w:szCs w:val="28"/>
              </w:rPr>
              <w:t>Certified Public Accountant (Practising)</w:t>
            </w:r>
            <w:r w:rsidRPr="00807984">
              <w:rPr>
                <w:sz w:val="28"/>
                <w:szCs w:val="28"/>
              </w:rPr>
              <w:t xml:space="preserve"> Certificate No. [     ]</w:t>
            </w:r>
          </w:p>
        </w:tc>
      </w:tr>
    </w:tbl>
    <w:p w:rsidR="005F5B74" w:rsidRDefault="005F5B74" w:rsidP="00583AA4">
      <w:pPr>
        <w:widowControl/>
        <w:overflowPunct w:val="0"/>
        <w:snapToGrid w:val="0"/>
        <w:jc w:val="both"/>
        <w:rPr>
          <w:sz w:val="28"/>
          <w:szCs w:val="28"/>
        </w:rPr>
      </w:pPr>
      <w:r>
        <w:rPr>
          <w:rFonts w:hint="eastAsia"/>
          <w:sz w:val="28"/>
          <w:szCs w:val="28"/>
        </w:rPr>
        <w:t>H</w:t>
      </w:r>
      <w:r>
        <w:rPr>
          <w:sz w:val="28"/>
          <w:szCs w:val="28"/>
        </w:rPr>
        <w:t>o</w:t>
      </w:r>
      <w:r>
        <w:rPr>
          <w:rFonts w:hint="eastAsia"/>
          <w:sz w:val="28"/>
          <w:szCs w:val="28"/>
        </w:rPr>
        <w:t>ng Kong</w:t>
      </w:r>
      <w:r>
        <w:rPr>
          <w:rFonts w:hint="eastAsia"/>
          <w:sz w:val="28"/>
          <w:szCs w:val="28"/>
        </w:rPr>
        <w:br/>
        <w:t>[Date]</w:t>
      </w:r>
    </w:p>
    <w:p w:rsidR="005F5B74" w:rsidRPr="00931120" w:rsidRDefault="005F5B74" w:rsidP="00583AA4">
      <w:pPr>
        <w:widowControl/>
        <w:overflowPunct w:val="0"/>
        <w:snapToGrid w:val="0"/>
        <w:jc w:val="both"/>
        <w:rPr>
          <w:b/>
          <w:sz w:val="28"/>
          <w:szCs w:val="28"/>
        </w:rPr>
      </w:pPr>
      <w:r>
        <w:rPr>
          <w:sz w:val="28"/>
          <w:szCs w:val="28"/>
        </w:rPr>
        <w:br w:type="page"/>
      </w:r>
      <w:r w:rsidR="00931120" w:rsidRPr="00931120">
        <w:rPr>
          <w:rFonts w:hint="eastAsia"/>
          <w:b/>
          <w:sz w:val="28"/>
          <w:szCs w:val="28"/>
        </w:rPr>
        <w:t xml:space="preserve">Statement of Expenditure for [name of the </w:t>
      </w:r>
      <w:r w:rsidR="00962F20">
        <w:rPr>
          <w:rFonts w:hint="eastAsia"/>
          <w:b/>
          <w:sz w:val="28"/>
          <w:szCs w:val="28"/>
        </w:rPr>
        <w:t>start-up</w:t>
      </w:r>
      <w:r w:rsidR="00931120" w:rsidRPr="00931120">
        <w:rPr>
          <w:rFonts w:hint="eastAsia"/>
          <w:b/>
          <w:sz w:val="28"/>
          <w:szCs w:val="28"/>
        </w:rPr>
        <w:t>]</w:t>
      </w:r>
    </w:p>
    <w:p w:rsidR="00931120" w:rsidRPr="00931120" w:rsidRDefault="00931120" w:rsidP="00583AA4">
      <w:pPr>
        <w:widowControl/>
        <w:overflowPunct w:val="0"/>
        <w:snapToGrid w:val="0"/>
        <w:spacing w:after="480"/>
        <w:jc w:val="both"/>
        <w:rPr>
          <w:b/>
          <w:sz w:val="28"/>
          <w:szCs w:val="28"/>
        </w:rPr>
      </w:pPr>
      <w:r w:rsidRPr="00931120">
        <w:rPr>
          <w:rFonts w:hint="eastAsia"/>
          <w:b/>
          <w:sz w:val="28"/>
          <w:szCs w:val="28"/>
        </w:rPr>
        <w:t>[Start date of the reimbursable period (DD/MM/YYYY)] to (</w:t>
      </w:r>
      <w:r w:rsidR="006F3BA7">
        <w:rPr>
          <w:rFonts w:hint="eastAsia"/>
          <w:b/>
          <w:sz w:val="28"/>
          <w:szCs w:val="28"/>
        </w:rPr>
        <w:t>31/03</w:t>
      </w:r>
      <w:r w:rsidRPr="00931120">
        <w:rPr>
          <w:rFonts w:hint="eastAsia"/>
          <w:b/>
          <w:sz w:val="28"/>
          <w:szCs w:val="28"/>
        </w:rPr>
        <w:t>/YYYY)]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2268"/>
      </w:tblGrid>
      <w:tr w:rsidR="00931120" w:rsidRPr="00500F9A" w:rsidTr="00583AA4">
        <w:trPr>
          <w:cantSplit/>
        </w:trPr>
        <w:tc>
          <w:tcPr>
            <w:tcW w:w="6858" w:type="dxa"/>
            <w:tcBorders>
              <w:top w:val="nil"/>
              <w:left w:val="nil"/>
              <w:bottom w:val="nil"/>
              <w:right w:val="nil"/>
            </w:tcBorders>
            <w:shd w:val="clear" w:color="auto" w:fill="F2F2F2"/>
            <w:vAlign w:val="center"/>
          </w:tcPr>
          <w:p w:rsidR="00931120" w:rsidRPr="00500F9A" w:rsidRDefault="00931120" w:rsidP="00583AA4">
            <w:pPr>
              <w:widowControl/>
              <w:overflowPunct w:val="0"/>
              <w:snapToGrid w:val="0"/>
              <w:spacing w:before="40" w:after="40"/>
              <w:jc w:val="both"/>
              <w:rPr>
                <w:b/>
                <w:sz w:val="28"/>
                <w:szCs w:val="28"/>
                <w:u w:val="single"/>
              </w:rPr>
            </w:pPr>
            <w:r w:rsidRPr="00500F9A">
              <w:rPr>
                <w:rFonts w:hint="eastAsia"/>
                <w:b/>
                <w:sz w:val="28"/>
                <w:szCs w:val="28"/>
                <w:u w:val="single"/>
              </w:rPr>
              <w:t>Expenditure</w:t>
            </w:r>
          </w:p>
        </w:tc>
        <w:tc>
          <w:tcPr>
            <w:tcW w:w="2268" w:type="dxa"/>
            <w:tcBorders>
              <w:top w:val="nil"/>
              <w:left w:val="nil"/>
              <w:bottom w:val="nil"/>
              <w:right w:val="nil"/>
            </w:tcBorders>
            <w:shd w:val="clear" w:color="auto" w:fill="F2F2F2"/>
            <w:vAlign w:val="center"/>
          </w:tcPr>
          <w:p w:rsidR="00931120" w:rsidRPr="00500F9A" w:rsidRDefault="00931120" w:rsidP="00583AA4">
            <w:pPr>
              <w:widowControl/>
              <w:overflowPunct w:val="0"/>
              <w:snapToGrid w:val="0"/>
              <w:spacing w:before="40" w:after="40"/>
              <w:jc w:val="right"/>
              <w:rPr>
                <w:sz w:val="28"/>
                <w:szCs w:val="28"/>
                <w:u w:val="single"/>
              </w:rPr>
            </w:pPr>
            <w:r w:rsidRPr="00500F9A">
              <w:rPr>
                <w:rFonts w:hint="eastAsia"/>
                <w:sz w:val="28"/>
                <w:szCs w:val="28"/>
                <w:u w:val="single"/>
              </w:rPr>
              <w:t>(HK$)</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rFonts w:hint="eastAsia"/>
                <w:sz w:val="28"/>
                <w:szCs w:val="28"/>
              </w:rPr>
              <w:t>Manpower</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rFonts w:hint="eastAsia"/>
                <w:sz w:val="28"/>
                <w:szCs w:val="28"/>
              </w:rPr>
              <w:t>Equipment</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rFonts w:hint="eastAsia"/>
                <w:sz w:val="28"/>
                <w:szCs w:val="28"/>
              </w:rPr>
              <w:t>Other Direct Costs</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r w:rsidRPr="00500F9A">
              <w:rPr>
                <w:sz w:val="28"/>
                <w:szCs w:val="28"/>
              </w:rPr>
              <w:tab/>
            </w:r>
            <w:r w:rsidRPr="00500F9A">
              <w:rPr>
                <w:rFonts w:hint="eastAsia"/>
                <w:sz w:val="28"/>
                <w:szCs w:val="28"/>
              </w:rPr>
              <w:t>[Name of expenditure item xx]</w:t>
            </w:r>
          </w:p>
        </w:tc>
        <w:tc>
          <w:tcPr>
            <w:tcW w:w="2268" w:type="dxa"/>
            <w:tcBorders>
              <w:top w:val="nil"/>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r w:rsidRPr="00500F9A">
              <w:rPr>
                <w:rFonts w:hint="eastAsia"/>
                <w:sz w:val="28"/>
                <w:szCs w:val="28"/>
              </w:rPr>
              <w:t>xxx,xxx</w:t>
            </w: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sz w:val="28"/>
                <w:szCs w:val="28"/>
              </w:rPr>
            </w:pPr>
          </w:p>
        </w:tc>
        <w:tc>
          <w:tcPr>
            <w:tcW w:w="2268" w:type="dxa"/>
            <w:tcBorders>
              <w:top w:val="single" w:sz="4" w:space="0" w:color="auto"/>
              <w:left w:val="nil"/>
              <w:bottom w:val="single" w:sz="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sz w:val="28"/>
                <w:szCs w:val="28"/>
              </w:rPr>
            </w:pPr>
          </w:p>
        </w:tc>
      </w:tr>
      <w:tr w:rsidR="00931120" w:rsidRPr="00500F9A" w:rsidTr="00583AA4">
        <w:trPr>
          <w:cantSplit/>
        </w:trPr>
        <w:tc>
          <w:tcPr>
            <w:tcW w:w="6858" w:type="dxa"/>
            <w:tcBorders>
              <w:top w:val="nil"/>
              <w:left w:val="nil"/>
              <w:bottom w:val="nil"/>
              <w:right w:val="nil"/>
            </w:tcBorders>
            <w:shd w:val="clear" w:color="auto" w:fill="auto"/>
            <w:vAlign w:val="center"/>
          </w:tcPr>
          <w:p w:rsidR="00931120" w:rsidRPr="00500F9A" w:rsidRDefault="00931120" w:rsidP="00583AA4">
            <w:pPr>
              <w:widowControl/>
              <w:overflowPunct w:val="0"/>
              <w:snapToGrid w:val="0"/>
              <w:spacing w:before="40" w:after="40"/>
              <w:jc w:val="both"/>
              <w:rPr>
                <w:b/>
                <w:sz w:val="28"/>
                <w:szCs w:val="28"/>
              </w:rPr>
            </w:pPr>
            <w:r w:rsidRPr="00500F9A">
              <w:rPr>
                <w:rFonts w:hint="eastAsia"/>
                <w:b/>
                <w:sz w:val="28"/>
                <w:szCs w:val="28"/>
              </w:rPr>
              <w:t>Total Expenditure</w:t>
            </w:r>
          </w:p>
        </w:tc>
        <w:tc>
          <w:tcPr>
            <w:tcW w:w="2268" w:type="dxa"/>
            <w:tcBorders>
              <w:top w:val="single" w:sz="4" w:space="0" w:color="auto"/>
              <w:left w:val="nil"/>
              <w:bottom w:val="thickThinLargeGap" w:sz="24" w:space="0" w:color="auto"/>
              <w:right w:val="nil"/>
            </w:tcBorders>
            <w:shd w:val="clear" w:color="auto" w:fill="auto"/>
            <w:vAlign w:val="center"/>
          </w:tcPr>
          <w:p w:rsidR="00931120" w:rsidRPr="00500F9A" w:rsidRDefault="00931120" w:rsidP="00583AA4">
            <w:pPr>
              <w:widowControl/>
              <w:overflowPunct w:val="0"/>
              <w:snapToGrid w:val="0"/>
              <w:spacing w:before="40" w:after="40"/>
              <w:jc w:val="right"/>
              <w:rPr>
                <w:b/>
                <w:sz w:val="28"/>
                <w:szCs w:val="28"/>
              </w:rPr>
            </w:pPr>
            <w:r w:rsidRPr="00500F9A">
              <w:rPr>
                <w:b/>
                <w:sz w:val="28"/>
                <w:szCs w:val="28"/>
              </w:rPr>
              <w:t>x,xxx,xxx</w:t>
            </w:r>
          </w:p>
        </w:tc>
      </w:tr>
    </w:tbl>
    <w:p w:rsidR="00931120" w:rsidRPr="00305B16" w:rsidRDefault="00931120" w:rsidP="00583AA4">
      <w:pPr>
        <w:widowControl/>
        <w:overflowPunct w:val="0"/>
        <w:snapToGrid w:val="0"/>
        <w:spacing w:before="600"/>
        <w:jc w:val="both"/>
        <w:rPr>
          <w:sz w:val="28"/>
          <w:szCs w:val="28"/>
        </w:rPr>
      </w:pPr>
      <w:r>
        <w:rPr>
          <w:rFonts w:hint="eastAsia"/>
          <w:sz w:val="28"/>
          <w:szCs w:val="28"/>
        </w:rPr>
        <w:t>Approved and authorised for issue for th</w:t>
      </w:r>
      <w:r w:rsidRPr="00061855">
        <w:rPr>
          <w:rFonts w:hint="eastAsia"/>
          <w:sz w:val="28"/>
          <w:szCs w:val="28"/>
        </w:rPr>
        <w:t xml:space="preserve">e </w:t>
      </w:r>
      <w:r w:rsidR="0052718D" w:rsidRPr="00061855">
        <w:rPr>
          <w:rFonts w:hint="eastAsia"/>
          <w:sz w:val="28"/>
          <w:szCs w:val="28"/>
        </w:rPr>
        <w:t>*</w:t>
      </w:r>
      <w:r w:rsidRPr="00061855">
        <w:rPr>
          <w:rFonts w:hint="eastAsia"/>
          <w:sz w:val="28"/>
          <w:szCs w:val="28"/>
        </w:rPr>
        <w:t>Board of Directors</w:t>
      </w:r>
      <w:r w:rsidR="00A82C29" w:rsidRPr="00061855">
        <w:rPr>
          <w:rFonts w:hint="eastAsia"/>
          <w:sz w:val="28"/>
          <w:szCs w:val="28"/>
        </w:rPr>
        <w:t xml:space="preserve"> / Sole Director</w:t>
      </w:r>
      <w:r w:rsidR="00305B16">
        <w:rPr>
          <w:rFonts w:hint="eastAsia"/>
          <w:sz w:val="28"/>
          <w:szCs w:val="28"/>
        </w:rPr>
        <w:t xml:space="preserve"> on [date]</w:t>
      </w:r>
    </w:p>
    <w:tbl>
      <w:tblPr>
        <w:tblW w:w="0" w:type="auto"/>
        <w:tblLook w:val="04A0" w:firstRow="1" w:lastRow="0" w:firstColumn="1" w:lastColumn="0" w:noHBand="0" w:noVBand="1"/>
      </w:tblPr>
      <w:tblGrid>
        <w:gridCol w:w="4563"/>
        <w:gridCol w:w="4563"/>
      </w:tblGrid>
      <w:tr w:rsidR="00690D7A" w:rsidRPr="00B7771F" w:rsidTr="00B7771F">
        <w:tc>
          <w:tcPr>
            <w:tcW w:w="4563" w:type="dxa"/>
            <w:shd w:val="clear" w:color="auto" w:fill="auto"/>
          </w:tcPr>
          <w:p w:rsidR="00690D7A" w:rsidRDefault="00690D7A" w:rsidP="00F51753">
            <w:pPr>
              <w:widowControl/>
              <w:overflowPunct w:val="0"/>
              <w:snapToGrid w:val="0"/>
              <w:spacing w:before="240"/>
              <w:jc w:val="both"/>
              <w:rPr>
                <w:sz w:val="28"/>
                <w:szCs w:val="28"/>
                <w:u w:val="single"/>
              </w:rPr>
            </w:pPr>
            <w:r w:rsidRPr="00061855">
              <w:rPr>
                <w:rFonts w:hint="eastAsia"/>
                <w:sz w:val="28"/>
                <w:szCs w:val="28"/>
                <w:u w:val="single"/>
              </w:rPr>
              <w:t xml:space="preserve">[Signature]     </w:t>
            </w:r>
          </w:p>
          <w:p w:rsidR="00305B16" w:rsidRPr="00061855" w:rsidRDefault="00305B16" w:rsidP="00F51753">
            <w:pPr>
              <w:widowControl/>
              <w:overflowPunct w:val="0"/>
              <w:snapToGrid w:val="0"/>
              <w:jc w:val="both"/>
              <w:rPr>
                <w:sz w:val="28"/>
                <w:szCs w:val="28"/>
                <w:u w:val="single"/>
              </w:rPr>
            </w:pPr>
            <w:r>
              <w:rPr>
                <w:sz w:val="28"/>
                <w:szCs w:val="28"/>
                <w:u w:val="single"/>
              </w:rPr>
              <w:t>[Name of Director]</w:t>
            </w:r>
          </w:p>
          <w:p w:rsidR="00690D7A" w:rsidRPr="00061855" w:rsidRDefault="0052718D" w:rsidP="00F51753">
            <w:pPr>
              <w:widowControl/>
              <w:overflowPunct w:val="0"/>
              <w:snapToGrid w:val="0"/>
              <w:jc w:val="both"/>
              <w:rPr>
                <w:sz w:val="28"/>
                <w:szCs w:val="28"/>
              </w:rPr>
            </w:pPr>
            <w:r w:rsidRPr="00061855">
              <w:rPr>
                <w:rFonts w:hint="eastAsia"/>
                <w:sz w:val="28"/>
                <w:szCs w:val="28"/>
              </w:rPr>
              <w:t>*</w:t>
            </w:r>
            <w:r w:rsidR="00690D7A" w:rsidRPr="00061855">
              <w:rPr>
                <w:rFonts w:hint="eastAsia"/>
                <w:sz w:val="28"/>
                <w:szCs w:val="28"/>
              </w:rPr>
              <w:t>Director</w:t>
            </w:r>
            <w:r w:rsidR="008F5779" w:rsidRPr="00061855">
              <w:rPr>
                <w:rFonts w:hint="eastAsia"/>
                <w:sz w:val="28"/>
                <w:szCs w:val="28"/>
              </w:rPr>
              <w:t xml:space="preserve"> / Sole Director</w:t>
            </w:r>
          </w:p>
        </w:tc>
        <w:tc>
          <w:tcPr>
            <w:tcW w:w="4563" w:type="dxa"/>
            <w:shd w:val="clear" w:color="auto" w:fill="auto"/>
          </w:tcPr>
          <w:p w:rsidR="00690D7A" w:rsidRDefault="00690D7A" w:rsidP="00F51753">
            <w:pPr>
              <w:widowControl/>
              <w:overflowPunct w:val="0"/>
              <w:snapToGrid w:val="0"/>
              <w:spacing w:before="240"/>
              <w:rPr>
                <w:sz w:val="28"/>
                <w:szCs w:val="28"/>
                <w:u w:val="single"/>
              </w:rPr>
            </w:pPr>
            <w:r w:rsidRPr="00061855">
              <w:rPr>
                <w:rFonts w:hint="eastAsia"/>
                <w:sz w:val="28"/>
                <w:szCs w:val="28"/>
                <w:u w:val="single"/>
              </w:rPr>
              <w:t xml:space="preserve">[Signature]     </w:t>
            </w:r>
          </w:p>
          <w:p w:rsidR="00305B16" w:rsidRPr="00061855" w:rsidRDefault="00305B16" w:rsidP="00F51753">
            <w:pPr>
              <w:widowControl/>
              <w:overflowPunct w:val="0"/>
              <w:snapToGrid w:val="0"/>
              <w:rPr>
                <w:sz w:val="28"/>
                <w:szCs w:val="28"/>
                <w:u w:val="single"/>
              </w:rPr>
            </w:pPr>
            <w:r>
              <w:rPr>
                <w:sz w:val="28"/>
                <w:szCs w:val="28"/>
                <w:u w:val="single"/>
              </w:rPr>
              <w:t>[Name of Director]</w:t>
            </w:r>
          </w:p>
          <w:p w:rsidR="00690D7A" w:rsidRPr="00B7771F" w:rsidRDefault="0052718D" w:rsidP="00F51753">
            <w:pPr>
              <w:widowControl/>
              <w:overflowPunct w:val="0"/>
              <w:snapToGrid w:val="0"/>
              <w:jc w:val="both"/>
              <w:rPr>
                <w:sz w:val="28"/>
                <w:szCs w:val="28"/>
              </w:rPr>
            </w:pPr>
            <w:r w:rsidRPr="00061855">
              <w:rPr>
                <w:rFonts w:hint="eastAsia"/>
                <w:sz w:val="28"/>
                <w:szCs w:val="28"/>
              </w:rPr>
              <w:t>*</w:t>
            </w:r>
            <w:r w:rsidR="00690D7A" w:rsidRPr="00061855">
              <w:rPr>
                <w:rFonts w:hint="eastAsia"/>
                <w:sz w:val="28"/>
                <w:szCs w:val="28"/>
              </w:rPr>
              <w:t>Director</w:t>
            </w:r>
          </w:p>
        </w:tc>
      </w:tr>
    </w:tbl>
    <w:p w:rsidR="00690D7A" w:rsidRPr="00983D64" w:rsidRDefault="0052718D" w:rsidP="00F51753">
      <w:pPr>
        <w:snapToGrid w:val="0"/>
        <w:spacing w:before="240"/>
        <w:jc w:val="both"/>
        <w:rPr>
          <w:i/>
          <w:szCs w:val="24"/>
        </w:rPr>
      </w:pPr>
      <w:r w:rsidRPr="00335B17">
        <w:rPr>
          <w:rFonts w:hint="eastAsia"/>
          <w:i/>
          <w:szCs w:val="26"/>
        </w:rPr>
        <w:t>(</w:t>
      </w:r>
      <w:r>
        <w:rPr>
          <w:rFonts w:hint="eastAsia"/>
          <w:i/>
          <w:szCs w:val="26"/>
        </w:rPr>
        <w:t>*</w:t>
      </w:r>
      <w:r>
        <w:rPr>
          <w:i/>
          <w:szCs w:val="26"/>
        </w:rPr>
        <w:t> </w:t>
      </w:r>
      <w:r w:rsidRPr="00335B17">
        <w:rPr>
          <w:rFonts w:hint="eastAsia"/>
          <w:i/>
          <w:szCs w:val="26"/>
        </w:rPr>
        <w:t xml:space="preserve">delete </w:t>
      </w:r>
      <w:r>
        <w:rPr>
          <w:rFonts w:hint="eastAsia"/>
          <w:i/>
          <w:szCs w:val="26"/>
        </w:rPr>
        <w:t xml:space="preserve">the </w:t>
      </w:r>
      <w:r w:rsidRPr="00335B17">
        <w:rPr>
          <w:i/>
          <w:szCs w:val="26"/>
        </w:rPr>
        <w:t>inappropriate</w:t>
      </w:r>
      <w:r w:rsidRPr="00335B17">
        <w:rPr>
          <w:rFonts w:hint="eastAsia"/>
          <w:i/>
          <w:szCs w:val="26"/>
        </w:rPr>
        <w:t>)</w:t>
      </w:r>
    </w:p>
    <w:sectPr w:rsidR="00690D7A" w:rsidRPr="00983D64" w:rsidSect="00583AA4">
      <w:headerReference w:type="default" r:id="rId8"/>
      <w:footerReference w:type="default" r:id="rId9"/>
      <w:headerReference w:type="first" r:id="rId10"/>
      <w:footerReference w:type="first" r:id="rId11"/>
      <w:type w:val="continuous"/>
      <w:pgSz w:w="11906" w:h="16838" w:code="9"/>
      <w:pgMar w:top="1440" w:right="1440" w:bottom="1440" w:left="1440" w:header="720" w:footer="72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6F" w:rsidRDefault="009B456F" w:rsidP="00DC5E69">
      <w:r>
        <w:separator/>
      </w:r>
    </w:p>
  </w:endnote>
  <w:endnote w:type="continuationSeparator" w:id="0">
    <w:p w:rsidR="009B456F" w:rsidRDefault="009B456F" w:rsidP="00DC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41" w:rsidRDefault="00E83B41" w:rsidP="00583AA4">
    <w:pPr>
      <w:pStyle w:val="a8"/>
    </w:pPr>
    <w:r>
      <w:rPr>
        <w:rFonts w:hint="eastAsia"/>
      </w:rPr>
      <w:t>[</w:t>
    </w:r>
    <w:r w:rsidR="00B1581C" w:rsidRPr="00B1581C">
      <w:t>September 2023</w:t>
    </w:r>
    <w:r w:rsidR="00B40511">
      <w:rPr>
        <w:rFonts w:hint="eastAsia"/>
      </w:rPr>
      <w:t xml:space="preserve"> </w:t>
    </w:r>
    <w:r>
      <w:rPr>
        <w:rFonts w:hint="eastAsia"/>
      </w:rPr>
      <w:t>edition]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41" w:rsidRDefault="00E83B41">
    <w:pPr>
      <w:pStyle w:val="a8"/>
    </w:pPr>
    <w:r>
      <w:rPr>
        <w:rFonts w:hint="eastAsia"/>
      </w:rPr>
      <w:t>[</w:t>
    </w:r>
    <w:r w:rsidR="00B1581C" w:rsidRPr="00B1581C">
      <w:t>September 2023</w:t>
    </w:r>
    <w:r w:rsidR="00B1581C">
      <w:t xml:space="preserve"> </w:t>
    </w:r>
    <w:r>
      <w:rPr>
        <w:rFonts w:hint="eastAsia"/>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6F" w:rsidRDefault="009B456F" w:rsidP="00DC5E69">
      <w:r>
        <w:separator/>
      </w:r>
    </w:p>
  </w:footnote>
  <w:footnote w:type="continuationSeparator" w:id="0">
    <w:p w:rsidR="009B456F" w:rsidRDefault="009B456F" w:rsidP="00DC5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8CA" w:rsidRPr="00583AA4" w:rsidRDefault="009228CA">
    <w:pPr>
      <w:pStyle w:val="a6"/>
      <w:jc w:val="center"/>
      <w:rPr>
        <w:sz w:val="24"/>
        <w:szCs w:val="24"/>
      </w:rPr>
    </w:pPr>
    <w:r w:rsidRPr="00583AA4">
      <w:rPr>
        <w:rFonts w:hint="eastAsia"/>
        <w:sz w:val="24"/>
        <w:szCs w:val="24"/>
      </w:rPr>
      <w:t>-</w:t>
    </w:r>
    <w:r w:rsidR="00583AA4" w:rsidRPr="00583AA4">
      <w:rPr>
        <w:sz w:val="24"/>
        <w:szCs w:val="24"/>
      </w:rPr>
      <w:t xml:space="preserve">  </w:t>
    </w:r>
    <w:r w:rsidRPr="00583AA4">
      <w:rPr>
        <w:sz w:val="24"/>
        <w:szCs w:val="24"/>
      </w:rPr>
      <w:fldChar w:fldCharType="begin"/>
    </w:r>
    <w:r w:rsidRPr="00583AA4">
      <w:rPr>
        <w:sz w:val="24"/>
        <w:szCs w:val="24"/>
      </w:rPr>
      <w:instrText xml:space="preserve"> PAGE   \* MERGEFORMAT </w:instrText>
    </w:r>
    <w:r w:rsidRPr="00583AA4">
      <w:rPr>
        <w:sz w:val="24"/>
        <w:szCs w:val="24"/>
      </w:rPr>
      <w:fldChar w:fldCharType="separate"/>
    </w:r>
    <w:r w:rsidR="00EA46E4" w:rsidRPr="00EA46E4">
      <w:rPr>
        <w:noProof/>
        <w:sz w:val="24"/>
        <w:szCs w:val="24"/>
        <w:lang w:val="zh-HK"/>
      </w:rPr>
      <w:t>2</w:t>
    </w:r>
    <w:r w:rsidRPr="00583AA4">
      <w:rPr>
        <w:sz w:val="24"/>
        <w:szCs w:val="24"/>
      </w:rPr>
      <w:fldChar w:fldCharType="end"/>
    </w:r>
    <w:r w:rsidR="00583AA4" w:rsidRPr="00583AA4">
      <w:rPr>
        <w:sz w:val="24"/>
        <w:szCs w:val="24"/>
      </w:rPr>
      <w:t xml:space="preserve">  </w:t>
    </w:r>
    <w:r w:rsidRPr="00583AA4">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A4" w:rsidRPr="00583AA4" w:rsidRDefault="00583AA4" w:rsidP="00583AA4">
    <w:pPr>
      <w:pStyle w:val="a6"/>
      <w:jc w:val="right"/>
      <w:rPr>
        <w:sz w:val="24"/>
        <w:szCs w:val="24"/>
      </w:rPr>
    </w:pPr>
    <w:r w:rsidRPr="00583AA4">
      <w:rPr>
        <w:b/>
        <w:sz w:val="24"/>
        <w:szCs w:val="24"/>
        <w:u w:val="single"/>
      </w:rPr>
      <w:t>Annex</w:t>
    </w:r>
    <w:r w:rsidRPr="00583AA4">
      <w:rPr>
        <w:rFonts w:hint="eastAsia"/>
        <w:b/>
        <w:sz w:val="24"/>
        <w:szCs w:val="24"/>
        <w:u w:val="single"/>
      </w:rPr>
      <w:t xml:space="preserve"> 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42"/>
    <w:multiLevelType w:val="singleLevel"/>
    <w:tmpl w:val="16CE216A"/>
    <w:lvl w:ilvl="0">
      <w:start w:val="2"/>
      <w:numFmt w:val="lowerRoman"/>
      <w:lvlText w:val="(%1)"/>
      <w:lvlJc w:val="left"/>
      <w:pPr>
        <w:tabs>
          <w:tab w:val="num" w:pos="1440"/>
        </w:tabs>
        <w:ind w:left="1440" w:hanging="480"/>
      </w:pPr>
      <w:rPr>
        <w:rFonts w:hint="eastAsia"/>
      </w:rPr>
    </w:lvl>
  </w:abstractNum>
  <w:abstractNum w:abstractNumId="1" w15:restartNumberingAfterBreak="0">
    <w:nsid w:val="023C569F"/>
    <w:multiLevelType w:val="singleLevel"/>
    <w:tmpl w:val="67CA45EA"/>
    <w:lvl w:ilvl="0">
      <w:start w:val="1"/>
      <w:numFmt w:val="lowerLetter"/>
      <w:lvlText w:val="(%1)"/>
      <w:lvlJc w:val="left"/>
      <w:pPr>
        <w:tabs>
          <w:tab w:val="num" w:pos="480"/>
        </w:tabs>
        <w:ind w:left="480" w:hanging="480"/>
      </w:pPr>
      <w:rPr>
        <w:rFonts w:hint="eastAsia"/>
      </w:rPr>
    </w:lvl>
  </w:abstractNum>
  <w:abstractNum w:abstractNumId="2" w15:restartNumberingAfterBreak="0">
    <w:nsid w:val="0AF519C3"/>
    <w:multiLevelType w:val="singleLevel"/>
    <w:tmpl w:val="23A0FC90"/>
    <w:lvl w:ilvl="0">
      <w:start w:val="1"/>
      <w:numFmt w:val="lowerLetter"/>
      <w:lvlText w:val="(%1)"/>
      <w:lvlJc w:val="left"/>
      <w:pPr>
        <w:tabs>
          <w:tab w:val="num" w:pos="482"/>
        </w:tabs>
        <w:ind w:left="482" w:hanging="482"/>
      </w:pPr>
      <w:rPr>
        <w:rFonts w:hint="eastAsia"/>
      </w:rPr>
    </w:lvl>
  </w:abstractNum>
  <w:abstractNum w:abstractNumId="3" w15:restartNumberingAfterBreak="0">
    <w:nsid w:val="0EA32FAB"/>
    <w:multiLevelType w:val="singleLevel"/>
    <w:tmpl w:val="F6DCF6D8"/>
    <w:lvl w:ilvl="0">
      <w:start w:val="2"/>
      <w:numFmt w:val="lowerRoman"/>
      <w:lvlText w:val="(%1)"/>
      <w:lvlJc w:val="left"/>
      <w:pPr>
        <w:tabs>
          <w:tab w:val="num" w:pos="1440"/>
        </w:tabs>
        <w:ind w:left="1440" w:hanging="480"/>
      </w:pPr>
      <w:rPr>
        <w:rFonts w:hint="eastAsia"/>
      </w:rPr>
    </w:lvl>
  </w:abstractNum>
  <w:abstractNum w:abstractNumId="4" w15:restartNumberingAfterBreak="0">
    <w:nsid w:val="0ED069DA"/>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7BA7665"/>
    <w:multiLevelType w:val="singleLevel"/>
    <w:tmpl w:val="2304A2C2"/>
    <w:lvl w:ilvl="0">
      <w:start w:val="2"/>
      <w:numFmt w:val="decimal"/>
      <w:lvlText w:val="%1."/>
      <w:lvlJc w:val="left"/>
      <w:pPr>
        <w:tabs>
          <w:tab w:val="num" w:pos="360"/>
        </w:tabs>
        <w:ind w:left="0" w:firstLine="0"/>
      </w:pPr>
      <w:rPr>
        <w:rFonts w:hint="eastAsia"/>
      </w:rPr>
    </w:lvl>
  </w:abstractNum>
  <w:abstractNum w:abstractNumId="6" w15:restartNumberingAfterBreak="0">
    <w:nsid w:val="1A2D6223"/>
    <w:multiLevelType w:val="singleLevel"/>
    <w:tmpl w:val="4058DD64"/>
    <w:lvl w:ilvl="0">
      <w:start w:val="2"/>
      <w:numFmt w:val="lowerLetter"/>
      <w:lvlText w:val="(%1)"/>
      <w:lvlJc w:val="left"/>
      <w:pPr>
        <w:tabs>
          <w:tab w:val="num" w:pos="840"/>
        </w:tabs>
        <w:ind w:left="840" w:hanging="360"/>
      </w:pPr>
      <w:rPr>
        <w:rFonts w:hint="eastAsia"/>
      </w:rPr>
    </w:lvl>
  </w:abstractNum>
  <w:abstractNum w:abstractNumId="7" w15:restartNumberingAfterBreak="0">
    <w:nsid w:val="1F7C1511"/>
    <w:multiLevelType w:val="singleLevel"/>
    <w:tmpl w:val="BFE2F8E6"/>
    <w:lvl w:ilvl="0">
      <w:start w:val="1"/>
      <w:numFmt w:val="lowerLetter"/>
      <w:lvlText w:val="(%1)"/>
      <w:lvlJc w:val="left"/>
      <w:pPr>
        <w:tabs>
          <w:tab w:val="num" w:pos="960"/>
        </w:tabs>
        <w:ind w:left="960" w:hanging="480"/>
      </w:pPr>
      <w:rPr>
        <w:rFonts w:hint="eastAsia"/>
      </w:rPr>
    </w:lvl>
  </w:abstractNum>
  <w:abstractNum w:abstractNumId="8" w15:restartNumberingAfterBreak="0">
    <w:nsid w:val="25526365"/>
    <w:multiLevelType w:val="singleLevel"/>
    <w:tmpl w:val="62E2E062"/>
    <w:lvl w:ilvl="0">
      <w:start w:val="2"/>
      <w:numFmt w:val="lowerLetter"/>
      <w:lvlText w:val="(%1)"/>
      <w:lvlJc w:val="left"/>
      <w:pPr>
        <w:tabs>
          <w:tab w:val="num" w:pos="960"/>
        </w:tabs>
        <w:ind w:left="960" w:hanging="480"/>
      </w:pPr>
      <w:rPr>
        <w:rFonts w:hint="eastAsia"/>
      </w:rPr>
    </w:lvl>
  </w:abstractNum>
  <w:abstractNum w:abstractNumId="9" w15:restartNumberingAfterBreak="0">
    <w:nsid w:val="28A172FC"/>
    <w:multiLevelType w:val="hybridMultilevel"/>
    <w:tmpl w:val="C85637A2"/>
    <w:lvl w:ilvl="0" w:tplc="362A57AC">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3796CA5"/>
    <w:multiLevelType w:val="singleLevel"/>
    <w:tmpl w:val="72267C2E"/>
    <w:lvl w:ilvl="0">
      <w:start w:val="1"/>
      <w:numFmt w:val="lowerRoman"/>
      <w:lvlText w:val="(%1)"/>
      <w:lvlJc w:val="left"/>
      <w:pPr>
        <w:tabs>
          <w:tab w:val="num" w:pos="1680"/>
        </w:tabs>
        <w:ind w:left="1440" w:hanging="480"/>
      </w:pPr>
      <w:rPr>
        <w:rFonts w:hint="eastAsia"/>
      </w:rPr>
    </w:lvl>
  </w:abstractNum>
  <w:abstractNum w:abstractNumId="11" w15:restartNumberingAfterBreak="0">
    <w:nsid w:val="35A66066"/>
    <w:multiLevelType w:val="singleLevel"/>
    <w:tmpl w:val="A0102AE8"/>
    <w:lvl w:ilvl="0">
      <w:start w:val="1"/>
      <w:numFmt w:val="lowerLetter"/>
      <w:lvlText w:val="(%1)"/>
      <w:lvlJc w:val="left"/>
      <w:pPr>
        <w:tabs>
          <w:tab w:val="num" w:pos="624"/>
        </w:tabs>
        <w:ind w:left="624" w:hanging="567"/>
      </w:pPr>
      <w:rPr>
        <w:rFonts w:hint="eastAsia"/>
      </w:rPr>
    </w:lvl>
  </w:abstractNum>
  <w:abstractNum w:abstractNumId="12" w15:restartNumberingAfterBreak="0">
    <w:nsid w:val="35F71641"/>
    <w:multiLevelType w:val="singleLevel"/>
    <w:tmpl w:val="62E2E062"/>
    <w:lvl w:ilvl="0">
      <w:start w:val="3"/>
      <w:numFmt w:val="lowerLetter"/>
      <w:lvlText w:val="(%1)"/>
      <w:lvlJc w:val="left"/>
      <w:pPr>
        <w:tabs>
          <w:tab w:val="num" w:pos="960"/>
        </w:tabs>
        <w:ind w:left="960" w:hanging="480"/>
      </w:pPr>
      <w:rPr>
        <w:rFonts w:hint="eastAsia"/>
      </w:rPr>
    </w:lvl>
  </w:abstractNum>
  <w:abstractNum w:abstractNumId="13" w15:restartNumberingAfterBreak="0">
    <w:nsid w:val="363431E5"/>
    <w:multiLevelType w:val="singleLevel"/>
    <w:tmpl w:val="D500DD1E"/>
    <w:lvl w:ilvl="0">
      <w:start w:val="2"/>
      <w:numFmt w:val="lowerLetter"/>
      <w:lvlText w:val="(%1)"/>
      <w:lvlJc w:val="left"/>
      <w:pPr>
        <w:tabs>
          <w:tab w:val="num" w:pos="1440"/>
        </w:tabs>
        <w:ind w:left="1440" w:hanging="480"/>
      </w:pPr>
      <w:rPr>
        <w:rFonts w:hint="eastAsia"/>
      </w:rPr>
    </w:lvl>
  </w:abstractNum>
  <w:abstractNum w:abstractNumId="14" w15:restartNumberingAfterBreak="0">
    <w:nsid w:val="36D84D99"/>
    <w:multiLevelType w:val="singleLevel"/>
    <w:tmpl w:val="44E4419C"/>
    <w:lvl w:ilvl="0">
      <w:start w:val="1"/>
      <w:numFmt w:val="bullet"/>
      <w:lvlText w:val="-"/>
      <w:lvlJc w:val="left"/>
      <w:pPr>
        <w:tabs>
          <w:tab w:val="num" w:pos="1920"/>
        </w:tabs>
        <w:ind w:left="1920" w:hanging="480"/>
      </w:pPr>
      <w:rPr>
        <w:rFonts w:ascii="Times New Roman" w:eastAsia="新細明體" w:hAnsi="Times New Roman" w:hint="default"/>
      </w:rPr>
    </w:lvl>
  </w:abstractNum>
  <w:abstractNum w:abstractNumId="15" w15:restartNumberingAfterBreak="0">
    <w:nsid w:val="38083B20"/>
    <w:multiLevelType w:val="singleLevel"/>
    <w:tmpl w:val="01F80994"/>
    <w:lvl w:ilvl="0">
      <w:start w:val="2"/>
      <w:numFmt w:val="decimal"/>
      <w:lvlText w:val="%1."/>
      <w:lvlJc w:val="left"/>
      <w:pPr>
        <w:tabs>
          <w:tab w:val="num" w:pos="360"/>
        </w:tabs>
        <w:ind w:left="360" w:hanging="360"/>
      </w:pPr>
      <w:rPr>
        <w:rFonts w:hint="eastAsia"/>
      </w:rPr>
    </w:lvl>
  </w:abstractNum>
  <w:abstractNum w:abstractNumId="16" w15:restartNumberingAfterBreak="0">
    <w:nsid w:val="491443E1"/>
    <w:multiLevelType w:val="singleLevel"/>
    <w:tmpl w:val="8228B1AA"/>
    <w:lvl w:ilvl="0">
      <w:start w:val="1"/>
      <w:numFmt w:val="lowerRoman"/>
      <w:lvlText w:val="(%1)"/>
      <w:lvlJc w:val="left"/>
      <w:pPr>
        <w:tabs>
          <w:tab w:val="num" w:pos="1440"/>
        </w:tabs>
        <w:ind w:left="1440" w:hanging="480"/>
      </w:pPr>
      <w:rPr>
        <w:rFonts w:hint="default"/>
      </w:rPr>
    </w:lvl>
  </w:abstractNum>
  <w:abstractNum w:abstractNumId="17" w15:restartNumberingAfterBreak="0">
    <w:nsid w:val="4AA32438"/>
    <w:multiLevelType w:val="singleLevel"/>
    <w:tmpl w:val="B3820F4E"/>
    <w:lvl w:ilvl="0">
      <w:start w:val="1"/>
      <w:numFmt w:val="lowerRoman"/>
      <w:lvlText w:val="(%1)"/>
      <w:lvlJc w:val="left"/>
      <w:pPr>
        <w:tabs>
          <w:tab w:val="num" w:pos="1680"/>
        </w:tabs>
        <w:ind w:left="1440" w:hanging="480"/>
      </w:pPr>
      <w:rPr>
        <w:rFonts w:hint="eastAsia"/>
      </w:rPr>
    </w:lvl>
  </w:abstractNum>
  <w:abstractNum w:abstractNumId="18" w15:restartNumberingAfterBreak="0">
    <w:nsid w:val="4C6632DA"/>
    <w:multiLevelType w:val="singleLevel"/>
    <w:tmpl w:val="29F4FCAE"/>
    <w:lvl w:ilvl="0">
      <w:start w:val="2"/>
      <w:numFmt w:val="decimal"/>
      <w:lvlText w:val="%1."/>
      <w:lvlJc w:val="left"/>
      <w:pPr>
        <w:tabs>
          <w:tab w:val="num" w:pos="960"/>
        </w:tabs>
        <w:ind w:left="960" w:hanging="960"/>
      </w:pPr>
      <w:rPr>
        <w:rFonts w:hint="eastAsia"/>
      </w:rPr>
    </w:lvl>
  </w:abstractNum>
  <w:abstractNum w:abstractNumId="19" w15:restartNumberingAfterBreak="0">
    <w:nsid w:val="51392FEF"/>
    <w:multiLevelType w:val="singleLevel"/>
    <w:tmpl w:val="2F461FE2"/>
    <w:lvl w:ilvl="0">
      <w:start w:val="2"/>
      <w:numFmt w:val="decimal"/>
      <w:lvlText w:val="%1."/>
      <w:lvlJc w:val="left"/>
      <w:pPr>
        <w:tabs>
          <w:tab w:val="num" w:pos="960"/>
        </w:tabs>
        <w:ind w:left="960" w:hanging="960"/>
      </w:pPr>
      <w:rPr>
        <w:rFonts w:hint="default"/>
      </w:rPr>
    </w:lvl>
  </w:abstractNum>
  <w:abstractNum w:abstractNumId="20" w15:restartNumberingAfterBreak="0">
    <w:nsid w:val="51E922DB"/>
    <w:multiLevelType w:val="hybridMultilevel"/>
    <w:tmpl w:val="7832AC60"/>
    <w:lvl w:ilvl="0" w:tplc="754C7942">
      <w:start w:val="2015"/>
      <w:numFmt w:val="bullet"/>
      <w:lvlText w:val="-"/>
      <w:lvlJc w:val="left"/>
      <w:pPr>
        <w:ind w:left="360" w:hanging="360"/>
      </w:pPr>
      <w:rPr>
        <w:rFonts w:ascii="Times New Roman" w:eastAsia="Arial Unicode MS" w:hAnsi="Times New Roman" w:cs="Times New Roman"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C9F0F89"/>
    <w:multiLevelType w:val="singleLevel"/>
    <w:tmpl w:val="3D7643EA"/>
    <w:lvl w:ilvl="0">
      <w:start w:val="2"/>
      <w:numFmt w:val="lowerRoman"/>
      <w:lvlText w:val="(%1)"/>
      <w:lvlJc w:val="left"/>
      <w:pPr>
        <w:tabs>
          <w:tab w:val="num" w:pos="1440"/>
        </w:tabs>
        <w:ind w:left="1440" w:hanging="480"/>
      </w:pPr>
      <w:rPr>
        <w:rFonts w:hint="eastAsia"/>
      </w:rPr>
    </w:lvl>
  </w:abstractNum>
  <w:abstractNum w:abstractNumId="22" w15:restartNumberingAfterBreak="0">
    <w:nsid w:val="645C6DE6"/>
    <w:multiLevelType w:val="singleLevel"/>
    <w:tmpl w:val="12F23A42"/>
    <w:lvl w:ilvl="0">
      <w:start w:val="3"/>
      <w:numFmt w:val="lowerLetter"/>
      <w:lvlText w:val="%1."/>
      <w:lvlJc w:val="left"/>
      <w:pPr>
        <w:tabs>
          <w:tab w:val="num" w:pos="720"/>
        </w:tabs>
        <w:ind w:left="720" w:hanging="480"/>
      </w:pPr>
      <w:rPr>
        <w:rFonts w:hint="default"/>
      </w:rPr>
    </w:lvl>
  </w:abstractNum>
  <w:abstractNum w:abstractNumId="23" w15:restartNumberingAfterBreak="0">
    <w:nsid w:val="681D706D"/>
    <w:multiLevelType w:val="singleLevel"/>
    <w:tmpl w:val="861E94F0"/>
    <w:lvl w:ilvl="0">
      <w:start w:val="2"/>
      <w:numFmt w:val="lowerRoman"/>
      <w:lvlText w:val="(%1)"/>
      <w:lvlJc w:val="left"/>
      <w:pPr>
        <w:tabs>
          <w:tab w:val="num" w:pos="1440"/>
        </w:tabs>
        <w:ind w:left="1440" w:hanging="480"/>
      </w:pPr>
      <w:rPr>
        <w:rFonts w:hint="eastAsia"/>
      </w:rPr>
    </w:lvl>
  </w:abstractNum>
  <w:abstractNum w:abstractNumId="24" w15:restartNumberingAfterBreak="0">
    <w:nsid w:val="6AD531A6"/>
    <w:multiLevelType w:val="singleLevel"/>
    <w:tmpl w:val="F5E8825A"/>
    <w:lvl w:ilvl="0">
      <w:start w:val="1"/>
      <w:numFmt w:val="lowerLetter"/>
      <w:lvlText w:val="(%1)"/>
      <w:lvlJc w:val="left"/>
      <w:pPr>
        <w:tabs>
          <w:tab w:val="num" w:pos="480"/>
        </w:tabs>
        <w:ind w:left="480" w:hanging="480"/>
      </w:pPr>
      <w:rPr>
        <w:rFonts w:hint="eastAsia"/>
      </w:rPr>
    </w:lvl>
  </w:abstractNum>
  <w:abstractNum w:abstractNumId="25" w15:restartNumberingAfterBreak="0">
    <w:nsid w:val="6C095668"/>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6E30707F"/>
    <w:multiLevelType w:val="singleLevel"/>
    <w:tmpl w:val="1DBAB434"/>
    <w:lvl w:ilvl="0">
      <w:start w:val="1"/>
      <w:numFmt w:val="lowerRoman"/>
      <w:lvlText w:val="(%1)"/>
      <w:lvlJc w:val="left"/>
      <w:pPr>
        <w:tabs>
          <w:tab w:val="num" w:pos="1440"/>
        </w:tabs>
        <w:ind w:left="1440" w:hanging="480"/>
      </w:pPr>
      <w:rPr>
        <w:rFonts w:hint="eastAsia"/>
      </w:rPr>
    </w:lvl>
  </w:abstractNum>
  <w:abstractNum w:abstractNumId="27" w15:restartNumberingAfterBreak="0">
    <w:nsid w:val="73BF2FE8"/>
    <w:multiLevelType w:val="singleLevel"/>
    <w:tmpl w:val="433E316C"/>
    <w:lvl w:ilvl="0">
      <w:start w:val="4"/>
      <w:numFmt w:val="lowerLetter"/>
      <w:lvlText w:val="(%1)"/>
      <w:lvlJc w:val="left"/>
      <w:pPr>
        <w:tabs>
          <w:tab w:val="num" w:pos="960"/>
        </w:tabs>
        <w:ind w:left="960" w:hanging="480"/>
      </w:pPr>
      <w:rPr>
        <w:rFonts w:hint="eastAsia"/>
      </w:rPr>
    </w:lvl>
  </w:abstractNum>
  <w:abstractNum w:abstractNumId="28" w15:restartNumberingAfterBreak="0">
    <w:nsid w:val="743A2AD1"/>
    <w:multiLevelType w:val="singleLevel"/>
    <w:tmpl w:val="7BB2F2B4"/>
    <w:lvl w:ilvl="0">
      <w:start w:val="3"/>
      <w:numFmt w:val="decimal"/>
      <w:lvlText w:val="%1."/>
      <w:lvlJc w:val="left"/>
      <w:pPr>
        <w:tabs>
          <w:tab w:val="num" w:pos="960"/>
        </w:tabs>
        <w:ind w:left="960" w:hanging="960"/>
      </w:pPr>
      <w:rPr>
        <w:rFonts w:hint="eastAsia"/>
      </w:rPr>
    </w:lvl>
  </w:abstractNum>
  <w:num w:numId="1">
    <w:abstractNumId w:val="19"/>
  </w:num>
  <w:num w:numId="2">
    <w:abstractNumId w:val="16"/>
  </w:num>
  <w:num w:numId="3">
    <w:abstractNumId w:val="14"/>
  </w:num>
  <w:num w:numId="4">
    <w:abstractNumId w:val="13"/>
  </w:num>
  <w:num w:numId="5">
    <w:abstractNumId w:val="15"/>
  </w:num>
  <w:num w:numId="6">
    <w:abstractNumId w:val="28"/>
  </w:num>
  <w:num w:numId="7">
    <w:abstractNumId w:val="3"/>
  </w:num>
  <w:num w:numId="8">
    <w:abstractNumId w:val="8"/>
  </w:num>
  <w:num w:numId="9">
    <w:abstractNumId w:val="26"/>
  </w:num>
  <w:num w:numId="10">
    <w:abstractNumId w:val="21"/>
  </w:num>
  <w:num w:numId="11">
    <w:abstractNumId w:val="17"/>
  </w:num>
  <w:num w:numId="12">
    <w:abstractNumId w:val="10"/>
  </w:num>
  <w:num w:numId="13">
    <w:abstractNumId w:val="12"/>
  </w:num>
  <w:num w:numId="14">
    <w:abstractNumId w:val="7"/>
  </w:num>
  <w:num w:numId="15">
    <w:abstractNumId w:val="23"/>
  </w:num>
  <w:num w:numId="16">
    <w:abstractNumId w:val="27"/>
  </w:num>
  <w:num w:numId="17">
    <w:abstractNumId w:val="6"/>
  </w:num>
  <w:num w:numId="18">
    <w:abstractNumId w:val="2"/>
  </w:num>
  <w:num w:numId="19">
    <w:abstractNumId w:val="0"/>
  </w:num>
  <w:num w:numId="20">
    <w:abstractNumId w:val="5"/>
  </w:num>
  <w:num w:numId="21">
    <w:abstractNumId w:val="18"/>
  </w:num>
  <w:num w:numId="22">
    <w:abstractNumId w:val="1"/>
  </w:num>
  <w:num w:numId="23">
    <w:abstractNumId w:val="25"/>
  </w:num>
  <w:num w:numId="24">
    <w:abstractNumId w:val="4"/>
  </w:num>
  <w:num w:numId="25">
    <w:abstractNumId w:val="11"/>
  </w:num>
  <w:num w:numId="26">
    <w:abstractNumId w:val="24"/>
  </w:num>
  <w:num w:numId="27">
    <w:abstractNumId w:val="22"/>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oNotTrackFormatting/>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NrUwNzA1tTQwMzEyNDBW0lEKTi0uzszPAykwqQUAdejZ3SwAAAA="/>
  </w:docVars>
  <w:rsids>
    <w:rsidRoot w:val="00A40499"/>
    <w:rsid w:val="00001277"/>
    <w:rsid w:val="00005D37"/>
    <w:rsid w:val="00011C2C"/>
    <w:rsid w:val="0001397C"/>
    <w:rsid w:val="000215DC"/>
    <w:rsid w:val="00023819"/>
    <w:rsid w:val="00031578"/>
    <w:rsid w:val="0003340B"/>
    <w:rsid w:val="00036058"/>
    <w:rsid w:val="0004081A"/>
    <w:rsid w:val="0005080D"/>
    <w:rsid w:val="00052AAF"/>
    <w:rsid w:val="000561A5"/>
    <w:rsid w:val="00061855"/>
    <w:rsid w:val="00064AB7"/>
    <w:rsid w:val="000658D5"/>
    <w:rsid w:val="00077EF6"/>
    <w:rsid w:val="00085136"/>
    <w:rsid w:val="000853C1"/>
    <w:rsid w:val="000960D8"/>
    <w:rsid w:val="000B2FC5"/>
    <w:rsid w:val="000B5821"/>
    <w:rsid w:val="000B6E34"/>
    <w:rsid w:val="000C4FB5"/>
    <w:rsid w:val="000C64B8"/>
    <w:rsid w:val="000C712A"/>
    <w:rsid w:val="000E1075"/>
    <w:rsid w:val="000E161E"/>
    <w:rsid w:val="000E5643"/>
    <w:rsid w:val="000E684A"/>
    <w:rsid w:val="000F40EF"/>
    <w:rsid w:val="000F71CE"/>
    <w:rsid w:val="0010345D"/>
    <w:rsid w:val="00106F63"/>
    <w:rsid w:val="00114054"/>
    <w:rsid w:val="001218F5"/>
    <w:rsid w:val="001220E8"/>
    <w:rsid w:val="00123D1E"/>
    <w:rsid w:val="00136540"/>
    <w:rsid w:val="00141A4A"/>
    <w:rsid w:val="00142639"/>
    <w:rsid w:val="0015300C"/>
    <w:rsid w:val="001577CE"/>
    <w:rsid w:val="00163514"/>
    <w:rsid w:val="001678E6"/>
    <w:rsid w:val="00167EF7"/>
    <w:rsid w:val="00173FFB"/>
    <w:rsid w:val="00184D23"/>
    <w:rsid w:val="00191220"/>
    <w:rsid w:val="001927E2"/>
    <w:rsid w:val="00195AF9"/>
    <w:rsid w:val="001A061A"/>
    <w:rsid w:val="001A11DF"/>
    <w:rsid w:val="001A336D"/>
    <w:rsid w:val="001B673C"/>
    <w:rsid w:val="001C235F"/>
    <w:rsid w:val="001D4724"/>
    <w:rsid w:val="001E0AE5"/>
    <w:rsid w:val="001E3E58"/>
    <w:rsid w:val="001E7B94"/>
    <w:rsid w:val="00205374"/>
    <w:rsid w:val="00213959"/>
    <w:rsid w:val="0021601A"/>
    <w:rsid w:val="002178F3"/>
    <w:rsid w:val="002314C7"/>
    <w:rsid w:val="00235DFD"/>
    <w:rsid w:val="00241C70"/>
    <w:rsid w:val="00251994"/>
    <w:rsid w:val="002662AC"/>
    <w:rsid w:val="002740D0"/>
    <w:rsid w:val="002760F5"/>
    <w:rsid w:val="00284878"/>
    <w:rsid w:val="00285BEE"/>
    <w:rsid w:val="00291391"/>
    <w:rsid w:val="002A401D"/>
    <w:rsid w:val="002B49F8"/>
    <w:rsid w:val="002B638C"/>
    <w:rsid w:val="002C0579"/>
    <w:rsid w:val="002C18A6"/>
    <w:rsid w:val="002C2FEE"/>
    <w:rsid w:val="002C3074"/>
    <w:rsid w:val="002C7210"/>
    <w:rsid w:val="002C7B5E"/>
    <w:rsid w:val="002D077B"/>
    <w:rsid w:val="002D1792"/>
    <w:rsid w:val="002D6FEC"/>
    <w:rsid w:val="002E03C7"/>
    <w:rsid w:val="002F3394"/>
    <w:rsid w:val="002F7DF4"/>
    <w:rsid w:val="00305B16"/>
    <w:rsid w:val="00314C8E"/>
    <w:rsid w:val="00327E05"/>
    <w:rsid w:val="00342638"/>
    <w:rsid w:val="00343A21"/>
    <w:rsid w:val="00345A5D"/>
    <w:rsid w:val="00347BDB"/>
    <w:rsid w:val="00355328"/>
    <w:rsid w:val="00357BD1"/>
    <w:rsid w:val="00372EF0"/>
    <w:rsid w:val="0039188A"/>
    <w:rsid w:val="00392EA7"/>
    <w:rsid w:val="003937D5"/>
    <w:rsid w:val="00393C82"/>
    <w:rsid w:val="003A1377"/>
    <w:rsid w:val="003A7986"/>
    <w:rsid w:val="003B511D"/>
    <w:rsid w:val="003B59C5"/>
    <w:rsid w:val="003C0A39"/>
    <w:rsid w:val="003E340D"/>
    <w:rsid w:val="003E564A"/>
    <w:rsid w:val="003F4941"/>
    <w:rsid w:val="003F6E4C"/>
    <w:rsid w:val="003F79FD"/>
    <w:rsid w:val="0040296C"/>
    <w:rsid w:val="004063B5"/>
    <w:rsid w:val="00413D74"/>
    <w:rsid w:val="00414115"/>
    <w:rsid w:val="0041568A"/>
    <w:rsid w:val="00417AC6"/>
    <w:rsid w:val="00431B2E"/>
    <w:rsid w:val="004448D7"/>
    <w:rsid w:val="0045216B"/>
    <w:rsid w:val="00467C8F"/>
    <w:rsid w:val="00477664"/>
    <w:rsid w:val="0048392E"/>
    <w:rsid w:val="00495DD8"/>
    <w:rsid w:val="00497E94"/>
    <w:rsid w:val="004B2F65"/>
    <w:rsid w:val="004B69CD"/>
    <w:rsid w:val="004D5831"/>
    <w:rsid w:val="004D63A8"/>
    <w:rsid w:val="00500F9A"/>
    <w:rsid w:val="00507ADC"/>
    <w:rsid w:val="005103FE"/>
    <w:rsid w:val="005133ED"/>
    <w:rsid w:val="00514C34"/>
    <w:rsid w:val="00516CAD"/>
    <w:rsid w:val="00521FBE"/>
    <w:rsid w:val="0052718D"/>
    <w:rsid w:val="00533DC3"/>
    <w:rsid w:val="005404DA"/>
    <w:rsid w:val="00553395"/>
    <w:rsid w:val="005538A1"/>
    <w:rsid w:val="00564968"/>
    <w:rsid w:val="00567555"/>
    <w:rsid w:val="005735BC"/>
    <w:rsid w:val="005772FB"/>
    <w:rsid w:val="00583AA4"/>
    <w:rsid w:val="005A7EC3"/>
    <w:rsid w:val="005B2C12"/>
    <w:rsid w:val="005C7EEC"/>
    <w:rsid w:val="005D3C69"/>
    <w:rsid w:val="005D58AA"/>
    <w:rsid w:val="005E3076"/>
    <w:rsid w:val="005F5B74"/>
    <w:rsid w:val="00600103"/>
    <w:rsid w:val="006031D5"/>
    <w:rsid w:val="006053D6"/>
    <w:rsid w:val="006061D8"/>
    <w:rsid w:val="006319F6"/>
    <w:rsid w:val="006320F8"/>
    <w:rsid w:val="0064067D"/>
    <w:rsid w:val="006416F3"/>
    <w:rsid w:val="00646931"/>
    <w:rsid w:val="00663564"/>
    <w:rsid w:val="00690D7A"/>
    <w:rsid w:val="006A7AC8"/>
    <w:rsid w:val="006B0605"/>
    <w:rsid w:val="006B137C"/>
    <w:rsid w:val="006B358A"/>
    <w:rsid w:val="006B50D7"/>
    <w:rsid w:val="006C5D95"/>
    <w:rsid w:val="006C645D"/>
    <w:rsid w:val="006C70B7"/>
    <w:rsid w:val="006E030C"/>
    <w:rsid w:val="006E1347"/>
    <w:rsid w:val="006E6166"/>
    <w:rsid w:val="006E71DC"/>
    <w:rsid w:val="006F1520"/>
    <w:rsid w:val="006F3BA7"/>
    <w:rsid w:val="007124D6"/>
    <w:rsid w:val="00712533"/>
    <w:rsid w:val="00727605"/>
    <w:rsid w:val="00727ADE"/>
    <w:rsid w:val="00734BF3"/>
    <w:rsid w:val="0075121B"/>
    <w:rsid w:val="00753A71"/>
    <w:rsid w:val="00757A78"/>
    <w:rsid w:val="00770AF8"/>
    <w:rsid w:val="00772ABE"/>
    <w:rsid w:val="00776580"/>
    <w:rsid w:val="00777EEE"/>
    <w:rsid w:val="007802F0"/>
    <w:rsid w:val="00785447"/>
    <w:rsid w:val="00791A87"/>
    <w:rsid w:val="007B0113"/>
    <w:rsid w:val="007C63B6"/>
    <w:rsid w:val="007D6D55"/>
    <w:rsid w:val="007E62F1"/>
    <w:rsid w:val="007F0204"/>
    <w:rsid w:val="007F1182"/>
    <w:rsid w:val="007F13F3"/>
    <w:rsid w:val="007F79C6"/>
    <w:rsid w:val="00800847"/>
    <w:rsid w:val="00807984"/>
    <w:rsid w:val="0081459C"/>
    <w:rsid w:val="008213A6"/>
    <w:rsid w:val="00823F7C"/>
    <w:rsid w:val="00824040"/>
    <w:rsid w:val="00826BED"/>
    <w:rsid w:val="00830350"/>
    <w:rsid w:val="00830728"/>
    <w:rsid w:val="0083113A"/>
    <w:rsid w:val="0083128B"/>
    <w:rsid w:val="008349B2"/>
    <w:rsid w:val="00836C62"/>
    <w:rsid w:val="00837201"/>
    <w:rsid w:val="00841C5B"/>
    <w:rsid w:val="00852670"/>
    <w:rsid w:val="00854E16"/>
    <w:rsid w:val="0085703D"/>
    <w:rsid w:val="00861A8A"/>
    <w:rsid w:val="00893E62"/>
    <w:rsid w:val="00896AC8"/>
    <w:rsid w:val="008B04C3"/>
    <w:rsid w:val="008B0AEF"/>
    <w:rsid w:val="008B215C"/>
    <w:rsid w:val="008B5635"/>
    <w:rsid w:val="008D1FDF"/>
    <w:rsid w:val="008E19F9"/>
    <w:rsid w:val="008F1A05"/>
    <w:rsid w:val="008F5779"/>
    <w:rsid w:val="00903BCF"/>
    <w:rsid w:val="00906439"/>
    <w:rsid w:val="0090686C"/>
    <w:rsid w:val="00911F3A"/>
    <w:rsid w:val="00912C9E"/>
    <w:rsid w:val="00920CB5"/>
    <w:rsid w:val="009228CA"/>
    <w:rsid w:val="009245F4"/>
    <w:rsid w:val="00924C21"/>
    <w:rsid w:val="00931120"/>
    <w:rsid w:val="00936CEF"/>
    <w:rsid w:val="009374F0"/>
    <w:rsid w:val="00944910"/>
    <w:rsid w:val="0095691B"/>
    <w:rsid w:val="00957E74"/>
    <w:rsid w:val="00961146"/>
    <w:rsid w:val="00962AE6"/>
    <w:rsid w:val="00962F20"/>
    <w:rsid w:val="00977313"/>
    <w:rsid w:val="00981BBD"/>
    <w:rsid w:val="00983D64"/>
    <w:rsid w:val="009926B9"/>
    <w:rsid w:val="00992A66"/>
    <w:rsid w:val="009A10BD"/>
    <w:rsid w:val="009A2E50"/>
    <w:rsid w:val="009B0F42"/>
    <w:rsid w:val="009B23E8"/>
    <w:rsid w:val="009B3A10"/>
    <w:rsid w:val="009B456F"/>
    <w:rsid w:val="009B4ADA"/>
    <w:rsid w:val="009B660F"/>
    <w:rsid w:val="009C123C"/>
    <w:rsid w:val="009C394D"/>
    <w:rsid w:val="009C61B5"/>
    <w:rsid w:val="009D1911"/>
    <w:rsid w:val="009E0D9D"/>
    <w:rsid w:val="009E20E4"/>
    <w:rsid w:val="009E41F1"/>
    <w:rsid w:val="009F0F53"/>
    <w:rsid w:val="009F7DB2"/>
    <w:rsid w:val="00A00576"/>
    <w:rsid w:val="00A03054"/>
    <w:rsid w:val="00A055E2"/>
    <w:rsid w:val="00A07D25"/>
    <w:rsid w:val="00A10BA7"/>
    <w:rsid w:val="00A3364A"/>
    <w:rsid w:val="00A40499"/>
    <w:rsid w:val="00A5660E"/>
    <w:rsid w:val="00A620F5"/>
    <w:rsid w:val="00A65AF6"/>
    <w:rsid w:val="00A66B0B"/>
    <w:rsid w:val="00A82318"/>
    <w:rsid w:val="00A82C29"/>
    <w:rsid w:val="00A86E56"/>
    <w:rsid w:val="00A91DF3"/>
    <w:rsid w:val="00A9637F"/>
    <w:rsid w:val="00A969D2"/>
    <w:rsid w:val="00AA613B"/>
    <w:rsid w:val="00AB19D5"/>
    <w:rsid w:val="00AB69F4"/>
    <w:rsid w:val="00AD157D"/>
    <w:rsid w:val="00AE5D30"/>
    <w:rsid w:val="00AF41F4"/>
    <w:rsid w:val="00B0121D"/>
    <w:rsid w:val="00B12572"/>
    <w:rsid w:val="00B1581C"/>
    <w:rsid w:val="00B201AB"/>
    <w:rsid w:val="00B24709"/>
    <w:rsid w:val="00B321C5"/>
    <w:rsid w:val="00B40511"/>
    <w:rsid w:val="00B4189B"/>
    <w:rsid w:val="00B5342D"/>
    <w:rsid w:val="00B56848"/>
    <w:rsid w:val="00B569AC"/>
    <w:rsid w:val="00B7170A"/>
    <w:rsid w:val="00B71E00"/>
    <w:rsid w:val="00B72275"/>
    <w:rsid w:val="00B75DED"/>
    <w:rsid w:val="00B7771F"/>
    <w:rsid w:val="00B80AB4"/>
    <w:rsid w:val="00B83853"/>
    <w:rsid w:val="00B93535"/>
    <w:rsid w:val="00B9517C"/>
    <w:rsid w:val="00BB128F"/>
    <w:rsid w:val="00BB181C"/>
    <w:rsid w:val="00BB4DA0"/>
    <w:rsid w:val="00BC155D"/>
    <w:rsid w:val="00BC726F"/>
    <w:rsid w:val="00BD3935"/>
    <w:rsid w:val="00BE70C2"/>
    <w:rsid w:val="00C101A4"/>
    <w:rsid w:val="00C13B7F"/>
    <w:rsid w:val="00C201B2"/>
    <w:rsid w:val="00C23101"/>
    <w:rsid w:val="00C361AA"/>
    <w:rsid w:val="00C37413"/>
    <w:rsid w:val="00C46A65"/>
    <w:rsid w:val="00C511FF"/>
    <w:rsid w:val="00C55632"/>
    <w:rsid w:val="00C62CDA"/>
    <w:rsid w:val="00C646A1"/>
    <w:rsid w:val="00C64A96"/>
    <w:rsid w:val="00C67FDC"/>
    <w:rsid w:val="00C84287"/>
    <w:rsid w:val="00C975FD"/>
    <w:rsid w:val="00CA63B5"/>
    <w:rsid w:val="00CB38F8"/>
    <w:rsid w:val="00CC5A83"/>
    <w:rsid w:val="00CD23B1"/>
    <w:rsid w:val="00CE1D63"/>
    <w:rsid w:val="00CE49D4"/>
    <w:rsid w:val="00CF1422"/>
    <w:rsid w:val="00D062BC"/>
    <w:rsid w:val="00D1576C"/>
    <w:rsid w:val="00D20949"/>
    <w:rsid w:val="00D2295B"/>
    <w:rsid w:val="00D23201"/>
    <w:rsid w:val="00D2341A"/>
    <w:rsid w:val="00D3262C"/>
    <w:rsid w:val="00D4367F"/>
    <w:rsid w:val="00D43C15"/>
    <w:rsid w:val="00D54FEE"/>
    <w:rsid w:val="00D62900"/>
    <w:rsid w:val="00D65CBE"/>
    <w:rsid w:val="00D66224"/>
    <w:rsid w:val="00D678E9"/>
    <w:rsid w:val="00D863BC"/>
    <w:rsid w:val="00D93064"/>
    <w:rsid w:val="00DA4920"/>
    <w:rsid w:val="00DA55BE"/>
    <w:rsid w:val="00DA7039"/>
    <w:rsid w:val="00DB15BE"/>
    <w:rsid w:val="00DB2909"/>
    <w:rsid w:val="00DB4D9E"/>
    <w:rsid w:val="00DC5E69"/>
    <w:rsid w:val="00DD0B21"/>
    <w:rsid w:val="00DD59FB"/>
    <w:rsid w:val="00DD7C1A"/>
    <w:rsid w:val="00DE6154"/>
    <w:rsid w:val="00DE63E2"/>
    <w:rsid w:val="00DE6AC9"/>
    <w:rsid w:val="00DF453D"/>
    <w:rsid w:val="00E005EF"/>
    <w:rsid w:val="00E14EEF"/>
    <w:rsid w:val="00E242EE"/>
    <w:rsid w:val="00E4698A"/>
    <w:rsid w:val="00E50833"/>
    <w:rsid w:val="00E522F2"/>
    <w:rsid w:val="00E57B31"/>
    <w:rsid w:val="00E6179F"/>
    <w:rsid w:val="00E83B41"/>
    <w:rsid w:val="00E84DE4"/>
    <w:rsid w:val="00E85ACD"/>
    <w:rsid w:val="00EA1FE4"/>
    <w:rsid w:val="00EA2B87"/>
    <w:rsid w:val="00EA46E4"/>
    <w:rsid w:val="00EC0B94"/>
    <w:rsid w:val="00EC35D8"/>
    <w:rsid w:val="00EC7964"/>
    <w:rsid w:val="00ED207E"/>
    <w:rsid w:val="00ED211F"/>
    <w:rsid w:val="00ED5287"/>
    <w:rsid w:val="00EE4136"/>
    <w:rsid w:val="00EE4383"/>
    <w:rsid w:val="00EE4769"/>
    <w:rsid w:val="00EE747F"/>
    <w:rsid w:val="00EF1772"/>
    <w:rsid w:val="00EF388C"/>
    <w:rsid w:val="00F23594"/>
    <w:rsid w:val="00F314CD"/>
    <w:rsid w:val="00F32C2A"/>
    <w:rsid w:val="00F33BE4"/>
    <w:rsid w:val="00F44C61"/>
    <w:rsid w:val="00F50701"/>
    <w:rsid w:val="00F51753"/>
    <w:rsid w:val="00F560AB"/>
    <w:rsid w:val="00F570AB"/>
    <w:rsid w:val="00F57994"/>
    <w:rsid w:val="00F604B5"/>
    <w:rsid w:val="00F6479E"/>
    <w:rsid w:val="00F724DE"/>
    <w:rsid w:val="00F77018"/>
    <w:rsid w:val="00F77624"/>
    <w:rsid w:val="00FA3B38"/>
    <w:rsid w:val="00FC20A1"/>
    <w:rsid w:val="00FD1B5C"/>
    <w:rsid w:val="00FD46A1"/>
    <w:rsid w:val="00FD4D99"/>
    <w:rsid w:val="00FD5FE2"/>
    <w:rsid w:val="00FE0FAD"/>
    <w:rsid w:val="00FE2651"/>
    <w:rsid w:val="00FE4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06B36B"/>
  <w15:chartTrackingRefBased/>
  <w15:docId w15:val="{46E0CD5F-FC57-4C6F-BB57-3F5240A1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lang w:val="en-GB"/>
    </w:rPr>
  </w:style>
  <w:style w:type="paragraph" w:styleId="1">
    <w:name w:val="heading 1"/>
    <w:basedOn w:val="a"/>
    <w:next w:val="a"/>
    <w:qFormat/>
    <w:pPr>
      <w:keepNext/>
      <w:jc w:val="both"/>
      <w:outlineLvl w:val="0"/>
    </w:pPr>
    <w:rPr>
      <w:u w:val="single"/>
    </w:rPr>
  </w:style>
  <w:style w:type="paragraph" w:styleId="2">
    <w:name w:val="heading 2"/>
    <w:basedOn w:val="a"/>
    <w:next w:val="a0"/>
    <w:qFormat/>
    <w:pPr>
      <w:keepNext/>
      <w:snapToGrid w:val="0"/>
      <w:spacing w:line="300" w:lineRule="atLeast"/>
      <w:ind w:firstLine="4560"/>
      <w:jc w:val="center"/>
      <w:outlineLvl w:val="1"/>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semiHidden/>
    <w:pPr>
      <w:ind w:left="1440" w:hanging="480"/>
    </w:pPr>
  </w:style>
  <w:style w:type="paragraph" w:styleId="a5">
    <w:name w:val="Body Text"/>
    <w:basedOn w:val="a"/>
    <w:semiHidden/>
    <w:pPr>
      <w:jc w:val="both"/>
    </w:pPr>
  </w:style>
  <w:style w:type="paragraph" w:styleId="a6">
    <w:name w:val="header"/>
    <w:basedOn w:val="a"/>
    <w:link w:val="a7"/>
    <w:uiPriority w:val="99"/>
    <w:pPr>
      <w:tabs>
        <w:tab w:val="center" w:pos="4153"/>
        <w:tab w:val="right" w:pos="8306"/>
      </w:tabs>
      <w:snapToGrid w:val="0"/>
    </w:pPr>
    <w:rPr>
      <w:sz w:val="20"/>
      <w:lang w:val="x-none" w:eastAsia="x-none"/>
    </w:rPr>
  </w:style>
  <w:style w:type="paragraph" w:styleId="a8">
    <w:name w:val="footer"/>
    <w:basedOn w:val="a"/>
    <w:link w:val="a9"/>
    <w:uiPriority w:val="99"/>
    <w:pPr>
      <w:tabs>
        <w:tab w:val="center" w:pos="4153"/>
        <w:tab w:val="right" w:pos="8306"/>
      </w:tabs>
      <w:snapToGrid w:val="0"/>
    </w:pPr>
    <w:rPr>
      <w:sz w:val="20"/>
    </w:rPr>
  </w:style>
  <w:style w:type="character" w:styleId="aa">
    <w:name w:val="page number"/>
    <w:basedOn w:val="a1"/>
    <w:semiHidden/>
  </w:style>
  <w:style w:type="paragraph" w:styleId="ab">
    <w:name w:val="Date"/>
    <w:basedOn w:val="a"/>
    <w:next w:val="a"/>
    <w:semiHidden/>
    <w:pPr>
      <w:jc w:val="right"/>
    </w:pPr>
    <w:rPr>
      <w:sz w:val="26"/>
    </w:rPr>
  </w:style>
  <w:style w:type="paragraph" w:styleId="ac">
    <w:name w:val="footnote text"/>
    <w:basedOn w:val="a"/>
    <w:link w:val="ad"/>
    <w:semiHidden/>
    <w:pPr>
      <w:snapToGrid w:val="0"/>
    </w:pPr>
    <w:rPr>
      <w:sz w:val="20"/>
      <w:lang w:eastAsia="x-none"/>
    </w:rPr>
  </w:style>
  <w:style w:type="character" w:styleId="ae">
    <w:name w:val="footnote reference"/>
    <w:semiHidden/>
    <w:rPr>
      <w:vertAlign w:val="superscript"/>
    </w:rPr>
  </w:style>
  <w:style w:type="paragraph" w:styleId="a0">
    <w:name w:val="Normal Indent"/>
    <w:basedOn w:val="a"/>
    <w:semiHidden/>
    <w:pPr>
      <w:ind w:left="480"/>
    </w:pPr>
  </w:style>
  <w:style w:type="character" w:styleId="af">
    <w:name w:val="annotation reference"/>
    <w:semiHidden/>
    <w:rPr>
      <w:sz w:val="18"/>
      <w:szCs w:val="18"/>
    </w:rPr>
  </w:style>
  <w:style w:type="paragraph" w:styleId="af0">
    <w:name w:val="annotation text"/>
    <w:basedOn w:val="a"/>
    <w:link w:val="af1"/>
    <w:semiHidden/>
    <w:rPr>
      <w:lang w:eastAsia="x-none"/>
    </w:rPr>
  </w:style>
  <w:style w:type="paragraph" w:customStyle="1" w:styleId="BalloonText1">
    <w:name w:val="Balloon Text1"/>
    <w:basedOn w:val="a"/>
    <w:semiHidden/>
    <w:rPr>
      <w:rFonts w:ascii="Tahoma" w:hAnsi="Tahoma" w:cs="Tahoma"/>
      <w:sz w:val="16"/>
      <w:szCs w:val="16"/>
    </w:rPr>
  </w:style>
  <w:style w:type="character" w:customStyle="1" w:styleId="a7">
    <w:name w:val="頁首 字元"/>
    <w:link w:val="a6"/>
    <w:uiPriority w:val="99"/>
    <w:rsid w:val="009228CA"/>
    <w:rPr>
      <w:kern w:val="2"/>
    </w:rPr>
  </w:style>
  <w:style w:type="paragraph" w:styleId="af2">
    <w:name w:val="Balloon Text"/>
    <w:basedOn w:val="a"/>
    <w:link w:val="af3"/>
    <w:uiPriority w:val="99"/>
    <w:semiHidden/>
    <w:unhideWhenUsed/>
    <w:rsid w:val="004D5831"/>
    <w:rPr>
      <w:rFonts w:ascii="Cambria" w:hAnsi="Cambria"/>
      <w:sz w:val="18"/>
      <w:szCs w:val="18"/>
      <w:lang w:eastAsia="x-none"/>
    </w:rPr>
  </w:style>
  <w:style w:type="character" w:customStyle="1" w:styleId="af3">
    <w:name w:val="註解方塊文字 字元"/>
    <w:link w:val="af2"/>
    <w:uiPriority w:val="99"/>
    <w:semiHidden/>
    <w:rsid w:val="004D5831"/>
    <w:rPr>
      <w:rFonts w:ascii="Cambria" w:eastAsia="新細明體" w:hAnsi="Cambria" w:cs="Times New Roman"/>
      <w:kern w:val="2"/>
      <w:sz w:val="18"/>
      <w:szCs w:val="18"/>
      <w:lang w:val="en-GB"/>
    </w:rPr>
  </w:style>
  <w:style w:type="character" w:customStyle="1" w:styleId="ad">
    <w:name w:val="註腳文字 字元"/>
    <w:link w:val="ac"/>
    <w:semiHidden/>
    <w:rsid w:val="009C394D"/>
    <w:rPr>
      <w:kern w:val="2"/>
      <w:lang w:val="en-GB"/>
    </w:rPr>
  </w:style>
  <w:style w:type="paragraph" w:styleId="af4">
    <w:name w:val="annotation subject"/>
    <w:basedOn w:val="af0"/>
    <w:next w:val="af0"/>
    <w:link w:val="af5"/>
    <w:uiPriority w:val="99"/>
    <w:semiHidden/>
    <w:unhideWhenUsed/>
    <w:rsid w:val="006061D8"/>
    <w:rPr>
      <w:b/>
      <w:bCs/>
    </w:rPr>
  </w:style>
  <w:style w:type="character" w:customStyle="1" w:styleId="af1">
    <w:name w:val="註解文字 字元"/>
    <w:link w:val="af0"/>
    <w:semiHidden/>
    <w:rsid w:val="006061D8"/>
    <w:rPr>
      <w:kern w:val="2"/>
      <w:sz w:val="24"/>
      <w:lang w:val="en-GB"/>
    </w:rPr>
  </w:style>
  <w:style w:type="character" w:customStyle="1" w:styleId="af5">
    <w:name w:val="註解主旨 字元"/>
    <w:link w:val="af4"/>
    <w:uiPriority w:val="99"/>
    <w:semiHidden/>
    <w:rsid w:val="006061D8"/>
    <w:rPr>
      <w:b/>
      <w:bCs/>
      <w:kern w:val="2"/>
      <w:sz w:val="24"/>
      <w:lang w:val="en-GB"/>
    </w:rPr>
  </w:style>
  <w:style w:type="paragraph" w:styleId="af6">
    <w:name w:val="List Paragraph"/>
    <w:basedOn w:val="a"/>
    <w:uiPriority w:val="34"/>
    <w:qFormat/>
    <w:rsid w:val="000B5821"/>
    <w:pPr>
      <w:ind w:leftChars="200" w:left="480"/>
    </w:pPr>
  </w:style>
  <w:style w:type="table" w:styleId="af7">
    <w:name w:val="Table Grid"/>
    <w:basedOn w:val="a2"/>
    <w:uiPriority w:val="59"/>
    <w:rsid w:val="0093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尾 字元"/>
    <w:link w:val="a8"/>
    <w:uiPriority w:val="99"/>
    <w:rsid w:val="00E83B41"/>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C6EA8-F80E-4EAE-A762-79FA84E4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1014</Words>
  <Characters>5730</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Reference Notes</vt:lpstr>
    </vt:vector>
  </TitlesOfParts>
  <Company>Industry Department</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Notes</dc:title>
  <dc:subject/>
  <dc:creator>User</dc:creator>
  <cp:keywords/>
  <cp:lastModifiedBy>PD3</cp:lastModifiedBy>
  <cp:revision>6</cp:revision>
  <cp:lastPrinted>2015-12-07T07:54:00Z</cp:lastPrinted>
  <dcterms:created xsi:type="dcterms:W3CDTF">2023-08-22T09:35:00Z</dcterms:created>
  <dcterms:modified xsi:type="dcterms:W3CDTF">2023-09-04T02:36:00Z</dcterms:modified>
</cp:coreProperties>
</file>